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9F06FD" w14:textId="3EC2E7FB" w:rsidR="00C50856" w:rsidRPr="00B05823" w:rsidRDefault="008A50FD" w:rsidP="001847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05823">
        <w:rPr>
          <w:rFonts w:ascii="Arial" w:hAnsi="Arial" w:cs="Arial"/>
          <w:sz w:val="20"/>
          <w:szCs w:val="20"/>
        </w:rPr>
        <w:t>Use this form</w:t>
      </w:r>
      <w:r w:rsidR="00B05224" w:rsidRPr="00B05823">
        <w:rPr>
          <w:rFonts w:ascii="Arial" w:hAnsi="Arial" w:cs="Arial"/>
          <w:sz w:val="20"/>
          <w:szCs w:val="20"/>
        </w:rPr>
        <w:t xml:space="preserve"> to assist</w:t>
      </w:r>
      <w:r w:rsidR="00E33D40" w:rsidRPr="00B05823">
        <w:rPr>
          <w:rFonts w:ascii="Arial" w:hAnsi="Arial" w:cs="Arial"/>
          <w:sz w:val="20"/>
          <w:szCs w:val="20"/>
        </w:rPr>
        <w:t xml:space="preserve"> </w:t>
      </w:r>
      <w:r w:rsidR="00B05224" w:rsidRPr="00B05823">
        <w:rPr>
          <w:rFonts w:ascii="Arial" w:hAnsi="Arial" w:cs="Arial"/>
          <w:sz w:val="20"/>
          <w:szCs w:val="20"/>
        </w:rPr>
        <w:t xml:space="preserve">you </w:t>
      </w:r>
      <w:r w:rsidR="009C32F9">
        <w:rPr>
          <w:rFonts w:ascii="Arial" w:hAnsi="Arial" w:cs="Arial"/>
          <w:sz w:val="20"/>
          <w:szCs w:val="20"/>
        </w:rPr>
        <w:t xml:space="preserve">to complete risk assessments </w:t>
      </w:r>
      <w:r w:rsidR="005C5958" w:rsidRPr="00B05823">
        <w:rPr>
          <w:rFonts w:ascii="Arial" w:hAnsi="Arial" w:cs="Arial"/>
          <w:sz w:val="20"/>
          <w:szCs w:val="20"/>
        </w:rPr>
        <w:t>f</w:t>
      </w:r>
      <w:r w:rsidR="009C32F9">
        <w:rPr>
          <w:rFonts w:ascii="Arial" w:hAnsi="Arial" w:cs="Arial"/>
          <w:sz w:val="20"/>
          <w:szCs w:val="20"/>
        </w:rPr>
        <w:t>or hazardous activities and</w:t>
      </w:r>
      <w:r w:rsidR="005C5958" w:rsidRPr="00B05823">
        <w:rPr>
          <w:rFonts w:ascii="Arial" w:hAnsi="Arial" w:cs="Arial"/>
          <w:sz w:val="20"/>
          <w:szCs w:val="20"/>
        </w:rPr>
        <w:t xml:space="preserve"> process</w:t>
      </w:r>
      <w:r w:rsidR="009C32F9">
        <w:rPr>
          <w:rFonts w:ascii="Arial" w:hAnsi="Arial" w:cs="Arial"/>
          <w:sz w:val="20"/>
          <w:szCs w:val="20"/>
        </w:rPr>
        <w:t>es</w:t>
      </w:r>
      <w:r w:rsidR="00470D48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9C32F9">
        <w:rPr>
          <w:rFonts w:ascii="Arial" w:hAnsi="Arial" w:cs="Arial"/>
          <w:sz w:val="20"/>
          <w:szCs w:val="20"/>
        </w:rPr>
        <w:t>.</w:t>
      </w:r>
      <w:r w:rsidR="005C5958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Any serious or ongoing hazards should be reported via </w:t>
      </w:r>
      <w:hyperlink r:id="rId11" w:history="1">
        <w:r w:rsidR="00866F4B" w:rsidRPr="00B05823">
          <w:rPr>
            <w:rStyle w:val="Hyperlink"/>
            <w:rFonts w:ascii="Arial" w:hAnsi="Arial" w:cs="Arial"/>
            <w:sz w:val="20"/>
            <w:szCs w:val="20"/>
          </w:rPr>
          <w:t>RiskWare</w:t>
        </w:r>
      </w:hyperlink>
      <w:r w:rsidR="00866F4B" w:rsidRPr="00B05823">
        <w:rPr>
          <w:rFonts w:ascii="Arial" w:hAnsi="Arial" w:cs="Arial"/>
          <w:sz w:val="20"/>
          <w:szCs w:val="20"/>
        </w:rPr>
        <w:t xml:space="preserve"> to </w:t>
      </w:r>
      <w:r w:rsidR="00DE69EB" w:rsidRPr="00B05823">
        <w:rPr>
          <w:rFonts w:ascii="Arial" w:hAnsi="Arial" w:cs="Arial"/>
          <w:sz w:val="20"/>
          <w:szCs w:val="20"/>
        </w:rPr>
        <w:t>ensure that appropriate corrective actions</w:t>
      </w:r>
      <w:r w:rsidR="00B05224" w:rsidRPr="00B05823">
        <w:rPr>
          <w:rFonts w:ascii="Arial" w:hAnsi="Arial" w:cs="Arial"/>
          <w:sz w:val="20"/>
          <w:szCs w:val="20"/>
        </w:rPr>
        <w:t xml:space="preserve"> are</w:t>
      </w:r>
      <w:r w:rsidR="00DE69EB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tracked and </w:t>
      </w:r>
      <w:r w:rsidR="00DE69EB" w:rsidRPr="00B05823">
        <w:rPr>
          <w:rFonts w:ascii="Arial" w:hAnsi="Arial" w:cs="Arial"/>
          <w:sz w:val="20"/>
          <w:szCs w:val="20"/>
        </w:rPr>
        <w:t>completed</w:t>
      </w:r>
      <w:r w:rsidR="00E33D40" w:rsidRPr="00B05823">
        <w:rPr>
          <w:rFonts w:ascii="Arial" w:hAnsi="Arial" w:cs="Arial"/>
          <w:sz w:val="20"/>
          <w:szCs w:val="20"/>
        </w:rPr>
        <w:t>.</w:t>
      </w:r>
    </w:p>
    <w:p w14:paraId="4D9F06FE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4315"/>
        <w:gridCol w:w="3016"/>
        <w:gridCol w:w="2870"/>
      </w:tblGrid>
      <w:tr w:rsidR="007D43D2" w:rsidRPr="00B05823" w14:paraId="4D9F0702" w14:textId="77777777" w:rsidTr="00D04953">
        <w:trPr>
          <w:trHeight w:val="302"/>
        </w:trPr>
        <w:tc>
          <w:tcPr>
            <w:tcW w:w="4315" w:type="dxa"/>
            <w:vMerge w:val="restart"/>
            <w:shd w:val="clear" w:color="auto" w:fill="C6D9F1" w:themeFill="text2" w:themeFillTint="33"/>
          </w:tcPr>
          <w:p w14:paraId="4D9F06F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Faculty/School:</w:t>
            </w:r>
          </w:p>
        </w:tc>
        <w:tc>
          <w:tcPr>
            <w:tcW w:w="3016" w:type="dxa"/>
            <w:vMerge w:val="restart"/>
          </w:tcPr>
          <w:p w14:paraId="4D9F0700" w14:textId="40CE7167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Faculty of Science — School of Physics (SAIL Labs)</w:t>
            </w:r>
          </w:p>
        </w:tc>
        <w:tc>
          <w:tcPr>
            <w:tcW w:w="2870" w:type="dxa"/>
          </w:tcPr>
          <w:p w14:paraId="4D9F0701" w14:textId="52BA5D18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2026</w:t>
            </w:r>
          </w:p>
        </w:tc>
      </w:tr>
      <w:tr w:rsidR="007D43D2" w:rsidRPr="00B05823" w14:paraId="4D9F0706" w14:textId="77777777" w:rsidTr="00D04953">
        <w:trPr>
          <w:trHeight w:val="301"/>
        </w:trPr>
        <w:tc>
          <w:tcPr>
            <w:tcW w:w="4315" w:type="dxa"/>
            <w:vMerge/>
            <w:shd w:val="clear" w:color="auto" w:fill="C6D9F1" w:themeFill="text2" w:themeFillTint="33"/>
          </w:tcPr>
          <w:p w14:paraId="4D9F070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D9F0704" w14:textId="77777777" w:rsidR="007D43D2" w:rsidRPr="00B05823" w:rsidRDefault="007D43D2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9F0705" w14:textId="52924227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2027</w:t>
            </w:r>
          </w:p>
        </w:tc>
      </w:tr>
      <w:tr w:rsidR="007D43D2" w:rsidRPr="00B05823" w14:paraId="4D9F0709" w14:textId="77777777" w:rsidTr="00D04953">
        <w:trPr>
          <w:trHeight w:val="377"/>
        </w:trPr>
        <w:tc>
          <w:tcPr>
            <w:tcW w:w="4315" w:type="dxa"/>
            <w:shd w:val="clear" w:color="auto" w:fill="C6D9F1" w:themeFill="text2" w:themeFillTint="33"/>
          </w:tcPr>
          <w:p w14:paraId="4D9F0707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Reference Number:</w:t>
            </w:r>
          </w:p>
        </w:tc>
        <w:tc>
          <w:tcPr>
            <w:tcW w:w="5886" w:type="dxa"/>
            <w:gridSpan w:val="2"/>
          </w:tcPr>
          <w:p w14:paraId="4D9F0708" w14:textId="4AE1589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RA-A28-SAIL-218G-3sae-cms</w:t>
            </w:r>
          </w:p>
        </w:tc>
      </w:tr>
      <w:tr w:rsidR="007D43D2" w:rsidRPr="00B05823" w14:paraId="4D9F070D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A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Name:</w:t>
            </w:r>
          </w:p>
          <w:p w14:paraId="4D9F070B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0C" w14:textId="42100FA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Operation of 3SAE Combiner Manufacturing System (CMS) for Fibre Optic Glass Processing</w:t>
            </w:r>
          </w:p>
        </w:tc>
      </w:tr>
      <w:tr w:rsidR="007D43D2" w:rsidRPr="00B05823" w14:paraId="4D9F0711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E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Prepared by:</w:t>
            </w:r>
          </w:p>
          <w:p w14:paraId="4D9F070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0" w14:textId="7D34D34D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</w:t>
            </w:r>
          </w:p>
        </w:tc>
      </w:tr>
      <w:tr w:rsidR="007D43D2" w:rsidRPr="00B05823" w14:paraId="4D9F0715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12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Responsible supervisor</w:t>
            </w:r>
            <w:r w:rsidR="00C22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/s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1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4" w14:textId="6E9B312C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</w:t>
            </w:r>
          </w:p>
        </w:tc>
      </w:tr>
    </w:tbl>
    <w:p w14:paraId="4D9F0716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564"/>
      </w:tblGrid>
      <w:tr w:rsidR="003B1474" w:rsidRPr="00B05823" w14:paraId="4D9F071A" w14:textId="77777777" w:rsidTr="00D04953">
        <w:trPr>
          <w:trHeight w:val="262"/>
        </w:trPr>
        <w:tc>
          <w:tcPr>
            <w:tcW w:w="5637" w:type="dxa"/>
            <w:shd w:val="clear" w:color="auto" w:fill="C6D9F1" w:themeFill="text2" w:themeFillTint="33"/>
            <w:vAlign w:val="center"/>
          </w:tcPr>
          <w:p w14:paraId="4D9F0717" w14:textId="330EEC9E" w:rsidR="003B1474" w:rsidRPr="00B05823" w:rsidRDefault="003B1474" w:rsidP="0016639D">
            <w:pPr>
              <w:pStyle w:val="Header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Identify the activity and the location </w:t>
            </w:r>
          </w:p>
        </w:tc>
        <w:tc>
          <w:tcPr>
            <w:tcW w:w="4564" w:type="dxa"/>
            <w:shd w:val="clear" w:color="auto" w:fill="C6D9F1" w:themeFill="text2" w:themeFillTint="33"/>
          </w:tcPr>
          <w:p w14:paraId="4D9F0718" w14:textId="77777777" w:rsidR="003B1474" w:rsidRPr="00B058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Identify who may be at risk</w:t>
            </w:r>
          </w:p>
          <w:p w14:paraId="4D9F0719" w14:textId="2FB3E591" w:rsidR="003B1474" w:rsidRPr="00B876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This </w:t>
            </w:r>
            <w:r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m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ight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include fellow workers, </w:t>
            </w:r>
            <w:r w:rsidR="00280969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students, 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>visitors, contractors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,</w:t>
            </w:r>
            <w:r w:rsidR="00470D48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patients</w:t>
            </w:r>
            <w:r w:rsidR="009E7C21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, 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research participants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and the public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5637"/>
        <w:gridCol w:w="4564"/>
      </w:tblGrid>
      <w:tr w:rsidR="00815883" w:rsidRPr="00B05823" w14:paraId="4D9F0721" w14:textId="77777777" w:rsidTr="00D04953">
        <w:trPr>
          <w:trHeight w:val="613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1B" w14:textId="77777777" w:rsidR="00457700" w:rsidRDefault="00815883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or process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1C" w14:textId="0B0623D2" w:rsidR="004D0EA0" w:rsidRDefault="000F1187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3SAE Combiner Manufacturing System (CMS) - Fibre Optic Glass Processing System. Purpose/use:</w:t>
              <w:br/>
              <w:t xml:space="preserve">- Fusion splicing of optical fibres (125μm to 2mm diameter)</w:t>
              <w:br/>
              <w:t xml:space="preserve">- Fibre optic tapering for combiners and mode-field adapters</w:t>
              <w:br/>
              <w:t xml:space="preserve">- Precision cleaving of optical fibres and components up to 500μm diameter</w:t>
              <w:br/>
              <w:t xml:space="preserve">- Production of multi-kilowatt class optical components</w:t>
              <w:br/>
              <w:t xml:space="preserve">- Manufacturing of photonic crystal fibre assemblies</w:t>
              <w:br/>
              <w:t xml:space="preserve">- Research and development of custom fibre optic assemblies</w:t>
            </w:r>
          </w:p>
          <w:p w14:paraId="4D9F071D" w14:textId="77777777" w:rsidR="004D0EA0" w:rsidRDefault="004D0EA0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9F071E" w14:textId="77777777" w:rsidR="00457700" w:rsidRPr="00B05823" w:rsidRDefault="00457700" w:rsidP="00E7002C">
            <w:pPr>
              <w:pStyle w:val="ListParagraph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086" w14:textId="77777777" w:rsidR="000F1187" w:rsidRDefault="00815883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Persons at risk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0" w14:textId="6D5391EC" w:rsidR="00E7002C" w:rsidRPr="00B05823" w:rsidRDefault="000F1187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Laboratory staff operating the CMS, Research students and postgraduate researchers, Technical support personnel, Maintenance technicians, Visitors to the laboratory (when equipment is operational)</w:t>
            </w:r>
          </w:p>
        </w:tc>
      </w:tr>
      <w:tr w:rsidR="00815883" w:rsidRPr="00B05823" w14:paraId="4D9F0729" w14:textId="77777777" w:rsidTr="00A9564F">
        <w:trPr>
          <w:trHeight w:val="634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22" w14:textId="77777777" w:rsidR="00E7002C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3" w14:textId="53EA3A44" w:rsidR="00815883" w:rsidRPr="00BE3D03" w:rsidRDefault="000F1187" w:rsidP="004577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218G SAIL Nexus Lab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724" w14:textId="39192616" w:rsidR="00815883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Risk assessment team 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A9564F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4D0EA0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ho was consulted?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27" w14:textId="5BCA13C6" w:rsidR="00457700" w:rsidRDefault="000F1187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Laboratory manager, Safety officer, Equipment users and operators, Manufacturer documentation review, Technical specifications analysis</w:t>
            </w:r>
          </w:p>
          <w:p w14:paraId="4D9F0728" w14:textId="77777777" w:rsidR="00457700" w:rsidRPr="00B05823" w:rsidRDefault="00457700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2A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131A1" w:rsidRPr="00B05823" w14:paraId="4D9F072C" w14:textId="77777777" w:rsidTr="00A9564F">
        <w:trPr>
          <w:trHeight w:val="26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2B" w14:textId="77777777" w:rsidR="001131A1" w:rsidRPr="00B05823" w:rsidRDefault="000309BE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List of L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egislation,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Code of Practice, Australian S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tandards,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G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uidance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M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aterials used to determine control measures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10201"/>
      </w:tblGrid>
      <w:tr w:rsidR="001131A1" w:rsidRPr="00B05823" w14:paraId="4D9F0731" w14:textId="77777777" w:rsidTr="00A9564F">
        <w:trPr>
          <w:trHeight w:val="479"/>
        </w:trPr>
        <w:tc>
          <w:tcPr>
            <w:tcW w:w="10201" w:type="dxa"/>
          </w:tcPr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60825.1:2014 - Safety of laser products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3000:2018 - Electrical installations (Wiring Rules)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4804:2001 - Occupational health and safety management systems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1940:2017 - The storage and handling of flammable and combustible liquids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2243 Series - Safety in laboratories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Act 2011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Regulation 2017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4343:2014 - Pressure equipment - Hazard levels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1210:2010 - Pressure vessels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Manufacturer's documentation (3SAE Technologies Inc.)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CMS Product Information Sheet and User Manual (https://3sae.com/wp-content/uploads/2024/01/CMS.pdf)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WHS policies and procedures</w:t>
            </w:r>
          </w:p>
          <w:p w14:paraId="4D9F0730" w14:textId="2BB44AFA" w:rsidR="00457700" w:rsidRPr="00B05823" w:rsidRDefault="00457700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32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57700" w14:paraId="4D9F0735" w14:textId="77777777" w:rsidTr="00D04953">
        <w:tc>
          <w:tcPr>
            <w:tcW w:w="10201" w:type="dxa"/>
            <w:shd w:val="clear" w:color="auto" w:fill="C6D9F1" w:themeFill="text2" w:themeFillTint="33"/>
          </w:tcPr>
          <w:p w14:paraId="4D9F0733" w14:textId="77777777" w:rsidR="00457700" w:rsidRPr="00457700" w:rsidRDefault="008C10B6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</w:t>
            </w:r>
            <w:r w:rsidR="00457700" w:rsidRPr="004577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ssessment Methodology </w:t>
            </w:r>
          </w:p>
          <w:p w14:paraId="4D9F0734" w14:textId="77777777" w:rsidR="00457700" w:rsidRDefault="00457700" w:rsidP="00184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57700" w14:paraId="4D9F073F" w14:textId="77777777" w:rsidTr="00D04953">
        <w:tc>
          <w:tcPr>
            <w:tcW w:w="10201" w:type="dxa"/>
          </w:tcPr>
          <w:p w14:paraId="4D9F0736" w14:textId="77777777" w:rsidR="00457700" w:rsidRPr="00FE5CBF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7" w14:textId="22B8E674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>Assessing the risk is a brainstorming exercise, which is most effectively carried out in a team environment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with the peop</w:t>
            </w:r>
            <w:r w:rsidR="009C32F9" w:rsidRPr="009446B2">
              <w:rPr>
                <w:rFonts w:ascii="Arial" w:hAnsi="Arial"/>
                <w:sz w:val="18"/>
                <w:szCs w:val="18"/>
              </w:rPr>
              <w:t>le required to complete the activity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or process</w:t>
            </w:r>
            <w:r w:rsidRPr="009446B2">
              <w:rPr>
                <w:rFonts w:ascii="Arial" w:hAnsi="Arial"/>
                <w:sz w:val="18"/>
                <w:szCs w:val="18"/>
              </w:rPr>
              <w:t>. Most activities or processes are broken down into a variety of separate tasks. For each task, consider the hazards, the potential harm or negative outcomes and the</w:t>
            </w:r>
            <w:r w:rsidR="00AF7511"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conditions required for those negative outcomes to occur. </w:t>
            </w:r>
          </w:p>
          <w:p w14:paraId="4D9F0738" w14:textId="77777777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9" w14:textId="77777777" w:rsidR="00457700" w:rsidRPr="009446B2" w:rsidRDefault="00457700" w:rsidP="00B87623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Whenever assessing the health and safety risks associated with a task, always consider the following primary risk factors. </w:t>
            </w:r>
          </w:p>
          <w:p w14:paraId="4D9F073A" w14:textId="20BFAD5A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physical activities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required to complete the task e.g. repetitive movement, high force, physical exertion, awkward posture</w:t>
            </w:r>
          </w:p>
          <w:p w14:paraId="4D9F073B" w14:textId="26263548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work environment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lighting, layout, traffic</w:t>
            </w:r>
            <w:r w:rsidR="005A7C1F" w:rsidRPr="009446B2">
              <w:rPr>
                <w:rFonts w:ascii="Arial" w:hAnsi="Arial"/>
                <w:sz w:val="18"/>
                <w:szCs w:val="18"/>
              </w:rPr>
              <w:t xml:space="preserve"> flow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34209C" w:rsidRPr="009446B2">
              <w:rPr>
                <w:rFonts w:ascii="Arial" w:hAnsi="Arial"/>
                <w:sz w:val="18"/>
                <w:szCs w:val="18"/>
              </w:rPr>
              <w:t>ventilation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A66B00" w:rsidRPr="009446B2">
              <w:rPr>
                <w:rFonts w:ascii="Arial" w:hAnsi="Arial"/>
                <w:sz w:val="18"/>
                <w:szCs w:val="18"/>
              </w:rPr>
              <w:t>access to support</w:t>
            </w:r>
            <w:r w:rsidR="00B25F12" w:rsidRPr="009446B2">
              <w:rPr>
                <w:rFonts w:ascii="Arial" w:hAnsi="Arial"/>
                <w:sz w:val="18"/>
                <w:szCs w:val="18"/>
              </w:rPr>
              <w:t xml:space="preserve"> (isolation)</w:t>
            </w:r>
            <w:r w:rsidR="001E0E55" w:rsidRPr="00FE5CBF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D9F073C" w14:textId="71E02A25" w:rsidR="00457700" w:rsidRPr="00FE5CBF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nature of the hazard itself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working with chemicals, microorganisms, radiation, </w:t>
            </w:r>
            <w:r w:rsidR="00A9564F" w:rsidRPr="009446B2">
              <w:rPr>
                <w:rFonts w:ascii="Arial" w:hAnsi="Arial"/>
                <w:sz w:val="18"/>
                <w:szCs w:val="18"/>
              </w:rPr>
              <w:t>use of plant and equipment</w:t>
            </w:r>
            <w:r w:rsidRPr="00FE5CBF">
              <w:rPr>
                <w:rFonts w:ascii="Arial" w:hAnsi="Arial"/>
                <w:sz w:val="18"/>
                <w:szCs w:val="18"/>
              </w:rPr>
              <w:t>,</w:t>
            </w:r>
            <w:r w:rsidR="00DE2AE0" w:rsidRPr="009446B2">
              <w:rPr>
                <w:rFonts w:ascii="Arial" w:hAnsi="Arial"/>
                <w:sz w:val="18"/>
                <w:szCs w:val="18"/>
              </w:rPr>
              <w:t xml:space="preserve"> sharp</w:t>
            </w:r>
            <w:r w:rsidR="002C4563" w:rsidRPr="009446B2">
              <w:rPr>
                <w:rFonts w:ascii="Arial" w:hAnsi="Arial"/>
                <w:sz w:val="18"/>
                <w:szCs w:val="18"/>
              </w:rPr>
              <w:t>s</w:t>
            </w:r>
            <w:r w:rsidR="00DE2AE0" w:rsidRPr="009446B2">
              <w:rPr>
                <w:rFonts w:ascii="Arial" w:hAnsi="Arial"/>
                <w:sz w:val="18"/>
                <w:szCs w:val="18"/>
              </w:rPr>
              <w:t>,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 xml:space="preserve">working with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potentially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>aggressive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clients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,</w:t>
            </w:r>
            <w:r w:rsidR="001845D2" w:rsidRPr="009446B2">
              <w:rPr>
                <w:rFonts w:ascii="Arial" w:hAnsi="Arial"/>
                <w:sz w:val="18"/>
                <w:szCs w:val="18"/>
              </w:rPr>
              <w:t xml:space="preserve"> patients</w:t>
            </w:r>
            <w:r w:rsidR="00E145D5" w:rsidRPr="00FE5CBF">
              <w:rPr>
                <w:rFonts w:ascii="Arial" w:hAnsi="Arial"/>
                <w:sz w:val="18"/>
                <w:szCs w:val="18"/>
              </w:rPr>
              <w:t xml:space="preserve"> 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or research participants</w:t>
            </w:r>
          </w:p>
          <w:p w14:paraId="4D9F073D" w14:textId="161E1F40" w:rsidR="00457700" w:rsidRPr="009446B2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lastRenderedPageBreak/>
              <w:t xml:space="preserve">The </w:t>
            </w:r>
            <w:r w:rsidR="0014026A" w:rsidRPr="009446B2">
              <w:rPr>
                <w:rFonts w:ascii="Arial" w:hAnsi="Arial"/>
                <w:b/>
                <w:sz w:val="18"/>
                <w:szCs w:val="18"/>
              </w:rPr>
              <w:t>people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 xml:space="preserve"> involved</w:t>
            </w:r>
            <w:r w:rsidRPr="009446B2">
              <w:rPr>
                <w:rFonts w:ascii="Arial" w:hAnsi="Arial"/>
                <w:sz w:val="18"/>
                <w:szCs w:val="18"/>
              </w:rPr>
              <w:t>, e.g. level of training,</w:t>
            </w:r>
            <w:r w:rsidR="003037FA" w:rsidRPr="009446B2">
              <w:rPr>
                <w:rFonts w:ascii="Arial" w:hAnsi="Arial"/>
                <w:sz w:val="18"/>
                <w:szCs w:val="18"/>
              </w:rPr>
              <w:t xml:space="preserve"> supervision, </w:t>
            </w:r>
            <w:r w:rsidRPr="009446B2">
              <w:rPr>
                <w:rFonts w:ascii="Arial" w:hAnsi="Arial"/>
                <w:sz w:val="18"/>
                <w:szCs w:val="18"/>
              </w:rPr>
              <w:t>experience, health, age, physical capacity</w:t>
            </w:r>
            <w:r w:rsidR="0063121B" w:rsidRPr="009446B2">
              <w:rPr>
                <w:rFonts w:ascii="Arial" w:hAnsi="Arial"/>
                <w:sz w:val="18"/>
                <w:szCs w:val="18"/>
              </w:rPr>
              <w:t>.</w:t>
            </w:r>
          </w:p>
          <w:p w14:paraId="4D9F073E" w14:textId="620F9ADA" w:rsidR="00280969" w:rsidRPr="009446B2" w:rsidRDefault="00280969" w:rsidP="00280969">
            <w:pPr>
              <w:pStyle w:val="ListParagraph"/>
              <w:spacing w:after="12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information gathered from 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risk assessment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process must be used to develop a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Safe Work Procedure (SWP)</w:t>
            </w:r>
            <w:r w:rsidR="0067443C" w:rsidRPr="009446B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239C2" w:rsidRPr="009446B2">
              <w:rPr>
                <w:rFonts w:ascii="Arial" w:hAnsi="Arial"/>
                <w:bCs/>
                <w:sz w:val="18"/>
                <w:szCs w:val="18"/>
              </w:rPr>
              <w:t xml:space="preserve">or </w:t>
            </w:r>
            <w:r w:rsidR="000239C2" w:rsidRPr="009446B2">
              <w:rPr>
                <w:rFonts w:ascii="Arial" w:hAnsi="Arial"/>
                <w:b/>
                <w:sz w:val="18"/>
                <w:szCs w:val="18"/>
              </w:rPr>
              <w:t>clinical protocol</w:t>
            </w:r>
            <w:r w:rsidR="000239C2" w:rsidRPr="00FE5CB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A26EC" w:rsidRPr="009446B2">
              <w:rPr>
                <w:rFonts w:ascii="Arial" w:hAnsi="Arial"/>
                <w:bCs/>
                <w:sz w:val="18"/>
                <w:szCs w:val="18"/>
              </w:rPr>
              <w:t>for the activity</w:t>
            </w:r>
            <w:r w:rsidRPr="009446B2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</w:tr>
    </w:tbl>
    <w:p w14:paraId="4D9F074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41" w14:textId="77777777" w:rsidR="005563E4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42" w14:textId="77777777" w:rsidR="00217A06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667"/>
        <w:gridCol w:w="2659"/>
        <w:gridCol w:w="1642"/>
        <w:gridCol w:w="1678"/>
        <w:gridCol w:w="2755"/>
        <w:gridCol w:w="2063"/>
      </w:tblGrid>
      <w:tr w:rsidR="00D17396" w:rsidRPr="00195F24" w14:paraId="4D9F0756" w14:textId="77777777" w:rsidTr="00D17396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3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4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Task or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5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6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Hazard</w:t>
            </w:r>
            <w:r w:rsidR="0038677F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/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7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8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Associated harm,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e.g. what could go wrong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49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Existing Risk Controls</w:t>
            </w:r>
          </w:p>
          <w:p w14:paraId="4D9F074A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B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C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D" w14:textId="77777777" w:rsid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Current risk rating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4D9F074E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="005C5958"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F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0" w14:textId="77777777" w:rsidR="005C5958" w:rsidRPr="007679BA" w:rsidRDefault="00577720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Any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additional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controls 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are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required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?</w:t>
            </w:r>
            <w:r w:rsidR="0047767D">
              <w:rPr>
                <w:rStyle w:val="FootnoteReference"/>
                <w:rFonts w:ascii="Arial" w:hAnsi="Arial" w:cs="Arial"/>
                <w:b/>
                <w:bCs/>
                <w:i w:val="0"/>
                <w:sz w:val="20"/>
                <w:szCs w:val="20"/>
              </w:rPr>
              <w:footnoteReference w:id="2"/>
            </w:r>
          </w:p>
          <w:p w14:paraId="4D9F0751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52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3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Residual risk rating</w:t>
            </w:r>
          </w:p>
          <w:p w14:paraId="4D9F0754" w14:textId="77777777" w:rsidR="007679BA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  <w:p w14:paraId="4D9F0755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High-temperature plasma operation (Ring of Fire technology)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Thermally Stabilised Plasma operating at temperatures from 300°C to &gt;3000°C for fusion splicing, tapering, and glass processing operations.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Severe thermal burns from contact with plasma, heated components, or processed fibres</w:t>
              <w:br/>
              <w:t xml:space="preserve">- Eye injury from intense visible and infrared radiation from plasma</w:t>
              <w:br/>
              <w:t xml:space="preserve">- Fire ignition if flammable materials are present near plasma zone</w:t>
              <w:br/>
              <w:t xml:space="preserve">- Heat stress from prolonged operation in proximity to heat source</w:t>
              <w:br/>
              <w:t xml:space="preserve">- Thermal damage to skin from radiant heat exposure</w:t>
              <w:br/>
              <w:t xml:space="preserve">- Secondary burns from heated electrode assemblies and processing chambers</w:t>
              <w:br/>
              <w:t xml:space="preserve">- Ignition of combustible materials (paper, solvents, packaging materials)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Enclosed processing chamber with controlled access during operation</w:t>
              <w:br/>
              <w:t xml:space="preserve">- Integrated cooling system for Ring of Fire electrodes and electrical components</w:t>
              <w:br/>
              <w:t xml:space="preserve">- Automatic shut-off systems and emergency stop functionality</w:t>
              <w:br/>
              <w:t xml:space="preserve">- Two orthogonal camera systems allowing remote viewing of process</w:t>
              <w:br/>
              <w:t xml:space="preserve">- Manufacturer-designed thermal barriers and shielding</w:t>
              <w:br/>
              <w:t xml:space="preserve">- Clear operational protocols specifying minimum safe distances</w:t>
              <w:br/>
              <w:t xml:space="preserve">- Warning labels on equipment indicating hot surfaces</w:t>
              <w:br/>
              <w:t xml:space="preserve">- Plasma operates within enclosed chamber, not exposed to operator</w:t>
              <w:br/>
              <w:t xml:space="preserve">- Load cell feedback system for process monitoring without physical contact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 completion of manufacturer-provided training before operation</w:t>
              <w:br/>
              <w:t xml:space="preserve">- Supervised operation for all users until competency demonstrated</w:t>
              <w:br/>
              <w:t xml:space="preserve">- Annual thermal safety audit of equipment and enclosure integrity</w:t>
              <w:br/>
              <w:t xml:space="preserve">- Prohibition of leaving system unattended during plasma operation</w:t>
              <w:br/>
              <w:t xml:space="preserve">- Automatic plasma shut-off if chamber is opened during operation (interlock verification)</w:t>
              <w:br/>
              <w:t xml:space="preserve">- NEVER disable safety interlocks or protective systems</w:t>
              <w:br/>
              <w:t xml:space="preserve">- NEVER attempt to touch or inspect components during or immediately after plasma operation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Compressed air system operation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High-pressure compressed air system operating at 6.2 bar (90 psi) with flow rate of 126 L/min (~4.5 cfm).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Projectile hazards from disconnected or failed air lines</w:t>
              <w:br/>
              <w:t xml:space="preserve">- Air embolism if compressed air contacts broken skin or body orifices</w:t>
              <w:br/>
              <w:t xml:space="preserve">- Eye injury from airborne particles propelled by compressed air</w:t>
              <w:br/>
              <w:t xml:space="preserve">- Hearing damage from sudden pressure releases or air leaks</w:t>
              <w:br/>
              <w:t xml:space="preserve">- Equipment damage from over-pressurisation</w:t>
              <w:br/>
              <w:t xml:space="preserve">- Rapid decompression injuries if partial vacuum system fails catastrophically</w:t>
              <w:br/>
              <w:t xml:space="preserve">- Whiplash injuries from flailing disconnected air hoses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Manufacturer-specified pressure regulator and relief valves</w:t>
              <w:br/>
              <w:t xml:space="preserve">- Industrial-grade compressed air fittings and hoses</w:t>
              <w:br/>
              <w:t xml:space="preserve">- Pressure gauges for monitoring system pressure</w:t>
              <w:br/>
              <w:t xml:space="preserve">- Air filtration system to remove particulates and moisture</w:t>
              <w:br/>
              <w:t xml:space="preserve">- Specified air quality requirements in manufacturer documentation</w:t>
              <w:br/>
              <w:t xml:space="preserve">- Equipment designed to operate within specified pressure range</w:t>
              <w:br/>
              <w:t xml:space="preserve">- Built-in pressure monitoring systems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Monthly visual inspection of all air lines, fittings, and connections for wear or damage</w:t>
              <w:br/>
              <w:t xml:space="preserve">- Pressure testing of air supply system annually by qualified technician</w:t>
              <w:br/>
              <w:t xml:space="preserve">- All air line connections must use proper industrial quick-disconnect fittings</w:t>
              <w:br/>
              <w:t xml:space="preserve">- Air line routing must prevent trip hazards and protect from damage</w:t>
              <w:br/>
              <w:t xml:space="preserve">- "High Pressure Air" warning labels at connection points</w:t>
              <w:br/>
              <w:t xml:space="preserve">- Procedure for safe depressurisation before maintenance</w:t>
              <w:br/>
              <w:t xml:space="preserve">- Training on safe compressed air practices including prohibition of using air for cleaning clothing or skin</w:t>
              <w:br/>
              <w:t xml:space="preserve">- Eye protection mandatory when working with compressed air systems</w:t>
              <w:br/>
              <w:t xml:space="preserve">- Annual testing of pressure relief valves</w:t>
              <w:br/>
              <w:t xml:space="preserve">- Secondary pressure regulator if facility air supply exceeds equipment requirements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Electrical hazards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Dual 24V 200W power supplies and electrical components within the system including electrode power systems, vision systems, and control electronics.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Electric shock from contact with live electrical components</w:t>
              <w:br/>
              <w:t xml:space="preserve">- Electrical burns from short circuits or component failure</w:t>
              <w:br/>
              <w:t xml:space="preserve">- Fire from electrical faults or overheating</w:t>
              <w:br/>
              <w:t xml:space="preserve">- Equipment damage from power surges or incorrect supply</w:t>
              <w:br/>
              <w:t xml:space="preserve">- Secondary injuries from startle response to electric shock</w:t>
              <w:br/>
              <w:t xml:space="preserve">- Arc flash during maintenance if residual charge present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Manufacturer-designed electrical safety systems</w:t>
              <w:br/>
              <w:t xml:space="preserve">- 24V operation reduces shock severity compared to mains voltage</w:t>
              <w:br/>
              <w:t xml:space="preserve">- Enclosed electrical components within equipment housing</w:t>
              <w:br/>
              <w:t xml:space="preserve">- Proper earthing and electrical isolation as per design</w:t>
              <w:br/>
              <w:t xml:space="preserve">- Circuit protection and fusing built into system</w:t>
              <w:br/>
              <w:t xml:space="preserve">- Electrical interconnection cables provided by manufacturer</w:t>
              <w:br/>
              <w:t xml:space="preserve">- CE/relevant certification compliance for electrical safety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Annual electrical safety inspection by qualified electrician</w:t>
              <w:br/>
              <w:t xml:space="preserve">- Residual current device (RCD) protection on mains supply to equipment</w:t>
              <w:br/>
              <w:t xml:space="preserve">- "Electrical Hazard" warning labels on access panels</w:t>
              <w:br/>
              <w:t xml:space="preserve">- Lockout/tagout procedures for any maintenance requiring access to electrical components</w:t>
              <w:br/>
              <w:t xml:space="preserve">- Only qualified electrical personnel authorised to access internal electrical systems</w:t>
              <w:br/>
              <w:t xml:space="preserve">- Immediate shutdown and reporting of any unusual electrical behaviour (sparking, burning smell, tripped breakers)</w:t>
              <w:br/>
              <w:t xml:space="preserve">- Dedicated power circuit for CMS to prevent overloading</w:t>
              <w:br/>
              <w:t xml:space="preserve">- Emergency shutdown procedure prominently displayed</w:t>
              <w:br/>
              <w:t xml:space="preserve">- Testing of earth continuity during annual inspection</w:t>
              <w:br/>
              <w:t xml:space="preserve">- Regular inspection of equipment for signs of electrical overheating or damage</w:t>
              <w:br/>
              <w:t xml:space="preserve">- Documented procedure for safe de-energisation before any internal access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Optical radiation and vision system hazards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Intense visible and infrared radiation from plasma, bright illumination from vision system, and direct viewing of molten glass during processing.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 strain and fatigue from prolonged viewing of bright processes</w:t>
              <w:br/>
              <w:t xml:space="preserve">- Potential retinal damage from intense plasma radiation</w:t>
              <w:br/>
              <w:t xml:space="preserve">- Flash blindness from sudden bright emissions</w:t>
              <w:br/>
              <w:t xml:space="preserve">- Long-term eye damage from repeated exposure to intense light</w:t>
              <w:br/>
              <w:t xml:space="preserve">- Headaches and discomfort from monitor viewing for extended periods</w:t>
              <w:br/>
              <w:t xml:space="preserve">- Temporary vision impairment affecting ability to perform other tasks safely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Indirect viewing via camera systems rather than direct observation</w:t>
              <w:br/>
              <w:t xml:space="preserve">- Two orthogonal 5MP cameras with telecentric lenses provide remote viewing</w:t>
              <w:br/>
              <w:t xml:space="preserve">- "Hot Imaging" provides live viewing with appropriate exposure compensation</w:t>
              <w:br/>
              <w:t xml:space="preserve">- Automatic exposure control prevents over or under-exposure of vision system</w:t>
              <w:br/>
              <w:t xml:space="preserve">- 23-inch (or 40-inch with upgrade) monitor for viewing at safe distance</w:t>
              <w:br/>
              <w:t xml:space="preserve">- Processing occurs within chamber, not in direct line of sight</w:t>
              <w:br/>
              <w:t xml:space="preserve">- Vision system designed to handle brightness of plasma without damage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 pre-operation verification that vision system is functioning correctly</w:t>
              <w:br/>
              <w:t xml:space="preserve">- Prohibition of direct viewing of plasma or molten glass</w:t>
              <w:br/>
              <w:t xml:space="preserve">- Monitor positioned to minimise screen glare and at appropriate height for ergonomic viewing</w:t>
              <w:br/>
              <w:t xml:space="preserve">- Regular breaks during extended operation sessions (minimum 5-minute break every hour)</w:t>
              <w:br/>
              <w:t xml:space="preserve">- Adjustment of monitor brightness to comfortable level for ambient lighting conditions</w:t>
              <w:br/>
              <w:t xml:space="preserve">- Room lighting sufficient to prevent excessive monitor brightness contrast</w:t>
              <w:br/>
              <w:t xml:space="preserve">- Safety glasses with appropriate plasma viewing filters available if direct inspection required (maintenance only)</w:t>
              <w:br/>
              <w:t xml:space="preserve">- Annual vision system calibration and safety assessment</w:t>
              <w:br/>
              <w:t xml:space="preserve">- Documented procedure for what to do if vision system fails during operation (emergency stop)</w:t>
              <w:br/>
              <w:t xml:space="preserve">- Alternative viewing method available if primary system fails</w:t>
              <w:br/>
              <w:t xml:space="preserve">- Immediate reporting of any vision system malfunctions</w:t>
              <w:br/>
              <w:t xml:space="preserve">- Eye examinations recommended for frequent users as part of health surveillance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Sharp objects and glass fibre handling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Handling of optical fibres, cleaved glass ends, diamond-tipped ultrasonic cleaving blade, broken or scrap fibres, and sharp glass edges.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Puncture wounds and lacerations from sharp glass fibre ends</w:t>
              <w:br/>
              <w:t xml:space="preserve">- Glass fibre fragments embedded in skin (difficult to see and remove)</w:t>
              <w:br/>
              <w:t xml:space="preserve">- Eye injuries from glass splinters or fragments</w:t>
              <w:br/>
              <w:t xml:space="preserve">- Cuts from diamond cleaving blade during blade changes or maintenance</w:t>
              <w:br/>
              <w:t xml:space="preserve">- Infection from contaminated glass penetrating skin</w:t>
              <w:br/>
              <w:t xml:space="preserve">- Injuries from broken glass components during handling or disposal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Integrated cleaver with blade enclosed during operation</w:t>
              <w:br/>
              <w:t xml:space="preserve">- Precision handling systems reduce direct hand contact with fibres</w:t>
              <w:br/>
              <w:t xml:space="preserve">- Fibre holders and fixtures position fibres securely</w:t>
              <w:br/>
              <w:t xml:space="preserve">- Automatic alignment reduces need for manual fibre manipulation</w:t>
              <w:br/>
              <w:t xml:space="preserve">- Manufacturer-designed fibre handling accessories (holders for different diameters)</w:t>
              <w:br/>
              <w:t xml:space="preserve">- Controlled cleaving process reduces random glass shard generation</w:t>
              <w:br/>
              <w:t xml:space="preserve">- Ultrasonic cleaver with controlled operation parameters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Safety glasses mandatory at all times when handling optical fibres</w:t>
              <w:br/>
              <w:t xml:space="preserve">- Close-fitting safety glasses to prevent entry of glass fragments</w:t>
              <w:br/>
              <w:t xml:space="preserve">- Designated sharps disposal containers positioned within easy reach of work area</w:t>
              <w:br/>
              <w:t xml:space="preserve">- Nitrile gloves recommended for handling fibres (provides some cut protection while maintaining dexterity)</w:t>
              <w:br/>
              <w:t xml:space="preserve">- No hand contact with freshly cleaved fibre ends</w:t>
              <w:br/>
              <w:t xml:space="preserve">- Tweezers or fibre handling tools must be used for positioning small components</w:t>
              <w:br/>
              <w:t xml:space="preserve">- Work surface with contrasting colour to improve visibility of glass fragments</w:t>
              <w:br/>
              <w:t xml:space="preserve">- Immediate cleanup of any broken fibres or glass debris using sticky tape or damp cloth (not hands)</w:t>
              <w:br/>
              <w:t xml:space="preserve">- Regular inspection and replacement of diamond cleaving blade per manufacturer schedule</w:t>
              <w:br/>
              <w:t xml:space="preserve">- Lockout procedure when accessing cleaver blade for replacement</w:t>
              <w:br/>
              <w:t xml:space="preserve">- Training on safe fibre handling techniques and first aid for glass injuries</w:t>
              <w:br/>
              <w:t xml:space="preserve">- First aid kit with splinter removal tools available</w:t>
              <w:br/>
              <w:t xml:space="preserve">- Regular workspace cleaning to remove accumulated glass debris</w:t>
              <w:br/>
              <w:t xml:space="preserve">- Warning signs indicating sharp materials hazard</w:t>
              <w:br/>
              <w:t xml:space="preserve">- Magnification available for inspection of fibre handling areas for fragments</w:t>
              <w:br/>
              <w:t xml:space="preserve">- Documented procedure for safe disposal of scrap fibres and glass waste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Vacuum system operation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Partial vacuum operation capability for adiabatic tapering and specialised processing modes.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Implosion hazard if vacuum chamber fails structurally</w:t>
              <w:br/>
              <w:t xml:space="preserve">- Rapid inrush of air if seal fails during vacuum operation</w:t>
              <w:br/>
              <w:t xml:space="preserve">- Crush injuries to fingers or hands if caught in vacuum seal mechanisms</w:t>
              <w:br/>
              <w:t xml:space="preserve">- Inhalation of particles if vacuum system draws in contaminated air upon seal breach</w:t>
              <w:br/>
              <w:t xml:space="preserve">- Secondary injuries from sudden pressure equalisation (noise, flying components)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Manufacturer-designed vacuum chamber with appropriate pressure rating</w:t>
              <w:br/>
              <w:t xml:space="preserve">- Controlled evacuation and venting procedures built into system</w:t>
              <w:br/>
              <w:t xml:space="preserve">- Pressure monitoring and control systems</w:t>
              <w:br/>
              <w:t xml:space="preserve">- Emergency pressure relief mechanisms</w:t>
              <w:br/>
              <w:t xml:space="preserve">- Chamber designed to withstand operating vacuum levels</w:t>
              <w:br/>
              <w:t xml:space="preserve">- Interlocked systems prevent chamber opening under vacuum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Pre-operation inspection of vacuum chamber seals and O-rings</w:t>
              <w:br/>
              <w:t xml:space="preserve">- Maintenance schedule for vacuum pump and sealing systems</w:t>
              <w:br/>
              <w:t xml:space="preserve">- Immediate shutdown if unusual sounds or pressure readings detected</w:t>
              <w:br/>
              <w:t xml:space="preserve">- Hands and fingers clear of all sealing surfaces before vacuum initiation</w:t>
              <w:br/>
              <w:t xml:space="preserve">- Prohibition of opening chamber until fully vented to atmospheric pressure</w:t>
              <w:br/>
              <w:t xml:space="preserve">- Pressure gauge verification before each vacuum operation</w:t>
              <w:br/>
              <w:t xml:space="preserve">- Annual pressure testing of vacuum chamber by competent person</w:t>
              <w:br/>
              <w:t xml:space="preserve">- Documented procedure for emergency venting</w:t>
              <w:br/>
              <w:t xml:space="preserve">- Training on vacuum system operation and emergency procedures</w:t>
              <w:br/>
              <w:t xml:space="preserve">- Vacuum pump exhaust directed away from operator breathing zone</w:t>
              <w:br/>
              <w:t xml:space="preserve">- Regular inspection of chamber viewing windows for cracks or damage</w:t>
              <w:br/>
              <w:t xml:space="preserve">- Replacement schedule for seals and gaskets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Chemical hazards from electrodes and processing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Electrode materials, potential contamination from electrode wear, cleaning chemicals for electrode maintenance, and any chemicals used in fibre preparation or cleaning.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Skin irritation or allergic reactions from electrode materials or metal dust</w:t>
              <w:br/>
              <w:t xml:space="preserve">- Inhalation of particulates from electrode wear or cleaning</w:t>
              <w:br/>
              <w:t xml:space="preserve">- Eye irritation from cleaning chemicals</w:t>
              <w:br/>
              <w:t xml:space="preserve">- Chemical burns from improper use of cleaning agents</w:t>
              <w:br/>
              <w:t xml:space="preserve">- Long-term health effects from repeated exposure to metal particulates</w:t>
              <w:br/>
              <w:t xml:space="preserve">- Fire or explosion from incompatible chemical mixing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Embedded electrode cooling system minimises oxidation and contamination</w:t>
              <w:br/>
              <w:t xml:space="preserve">- Thermally Stabilised Plasma operation reduces electrode wear compared to conventional systems</w:t>
              <w:br/>
              <w:t xml:space="preserve">- Manufacturer documentation specifies electrode materials and handling</w:t>
              <w:br/>
              <w:t xml:space="preserve">- Enclosed processing area limits airborne particulate spread</w:t>
              <w:br/>
              <w:t xml:space="preserve">- Electrode cleaning performed outside of operating chamber</w:t>
              <w:br/>
              <w:t xml:space="preserve">- Spare electrode sets provided with system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Safety Data Sheets (SDS) available for all chemicals used with equipment</w:t>
              <w:br/>
              <w:t xml:space="preserve">- Nitrile gloves worn when handling electrodes or performing cleaning</w:t>
              <w:br/>
              <w:t xml:space="preserve">- Electrode cleaning performed in well-ventilated area or fume hood</w:t>
              <w:br/>
              <w:t xml:space="preserve">- Eye protection during electrode handling and cleaning</w:t>
              <w:br/>
              <w:t xml:space="preserve">- Designated electrode cleaning area with appropriate spill containment</w:t>
              <w:br/>
              <w:t xml:space="preserve">- Electrode disposal via appropriate waste stream (not general waste)</w:t>
              <w:br/>
              <w:t xml:space="preserve">- Training on safe handling of electrode materials</w:t>
              <w:br/>
              <w:t xml:space="preserve">- Respiratory protection assessment if electrode material particulates are generated</w:t>
              <w:br/>
              <w:t xml:space="preserve">- Prohibition of eating, drinking, or applying cosmetics in areas where electrode handling occurs</w:t>
              <w:br/>
              <w:t xml:space="preserve">- Hand washing required after electrode handling</w:t>
              <w:br/>
              <w:t xml:space="preserve">- Regular housekeeping to prevent accumulation of electrode material dust</w:t>
              <w:br/>
              <w:t xml:space="preserve">- Documented procedure for spill response for any cleaning chemicals</w:t>
              <w:br/>
              <w:t xml:space="preserve">- Chemical inventory maintained and reviewed annually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Ergonomic and musculoskeletal hazards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Prolonged seated work at computer monitor, repetitive precise movements, sustained awkward postures during fibre alignment and loading, and extended periods of concentration.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 strain and visual fatigue from monitor work and precision tasks</w:t>
              <w:br/>
              <w:t xml:space="preserve">- Neck and shoulder pain from sustained postures</w:t>
              <w:br/>
              <w:t xml:space="preserve">- Back pain from prolonged sitting</w:t>
              <w:br/>
              <w:t xml:space="preserve">- Wrist and hand strain from repetitive precision movements</w:t>
              <w:br/>
              <w:t xml:space="preserve">- Mental fatigue from sustained concentration on critical tasks</w:t>
              <w:br/>
              <w:t xml:space="preserve">- Headaches from prolonged near-focus work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Adjustable workstation with standard CMS package (upgrade includes ergonomic cart)</w:t>
              <w:br/>
              <w:t xml:space="preserve">- Monitor viewing at appropriate distance via camera systems (no need for extreme close-up work)</w:t>
              <w:br/>
              <w:t xml:space="preserve">- Precision automated alignment reduces manual manipulation requirements</w:t>
              <w:br/>
              <w:t xml:space="preserve">- Orthogonal camera views reduce need for awkward viewing angles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Ergonomic workstation assessment and setup for each regular user</w:t>
              <w:br/>
              <w:t xml:space="preserve">- Adjustable chair with lumbar support provided</w:t>
              <w:br/>
              <w:t xml:space="preserve">- Monitor positioned at eye level and appropriate distance (50-70cm)</w:t>
              <w:br/>
              <w:t xml:space="preserve">- Regular micro-breaks during precision work (30 seconds every 10-15 minutes)</w:t>
              <w:br/>
              <w:t xml:space="preserve">- Task rotation where possible to vary physical demands</w:t>
              <w:br/>
              <w:t xml:space="preserve">- Maximum continuous operation time without breaks: 1 hour</w:t>
              <w:br/>
              <w:t xml:space="preserve">- Training on proper posture and ergonomic setup</w:t>
              <w:br/>
              <w:t xml:space="preserve">- Workstation setup checklist completed before extended sessions</w:t>
              <w:br/>
              <w:t xml:space="preserve">- Adequate task lighting to reduce eye strain without creating monitor glare</w:t>
              <w:br/>
              <w:t xml:space="preserve">- Consider upgrade to workstation cart package (CMS-01-0150) for improved ergonomics</w:t>
              <w:br/>
              <w:t xml:space="preserve">- Stretching exercises guidance for operators</w:t>
              <w:br/>
              <w:t xml:space="preserve">- Reporting procedure for any musculoskeletal discomfort</w:t>
              <w:br/>
              <w:t xml:space="preserve">- Periodic ergonomic reviews for frequent users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Training and competency requirements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Operation of complex, high-hazard equipment by inadequately trained or supervised personnel.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All hazards listed above are significantly increased if operators lack proper training</w:t>
              <w:br/>
              <w:t xml:space="preserve">- Equipment damage from incorrect operation</w:t>
              <w:br/>
              <w:t xml:space="preserve">- Injury to self or others from not understanding emergency procedures</w:t>
              <w:br/>
              <w:t xml:space="preserve">- Production of unsafe or poor-quality components</w:t>
              <w:br/>
              <w:t xml:space="preserve">- Inability to recognise and respond to abnormal operating conditions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Detailed operator's manual provided with equipment</w:t>
              <w:br/>
              <w:t xml:space="preserve">- Multi-day on-site installation and operational training available (TRN-01-0012)</w:t>
              <w:br/>
              <w:t xml:space="preserve">- Complex system requiring demonstrated competency</w:t>
              <w:br/>
              <w:t xml:space="preserve">- PC with all necessary software and documentation included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NOTE: current rating applies to untrained users; residual rating applies to trained and authorised users.</w:t>
              <w:br/>
              <w:t xml:space="preserve">- Mandatory completion of manufacturer training before independent operation</w:t>
              <w:br/>
              <w:t xml:space="preserve">- Competency assessment must be completed and documented before authorisation</w:t>
              <w:br/>
              <w:t xml:space="preserve">- Authorised users list maintained and displayed near equipment</w:t>
              <w:br/>
              <w:t xml:space="preserve">- Graduated training program: observation, then supervised operation, then independent operation</w:t>
              <w:br/>
              <w:t xml:space="preserve">- Minimum supervision requirements for new users (defined in SWP)</w:t>
              <w:br/>
              <w:t xml:space="preserve">- Theory assessment covering safety-critical knowledge</w:t>
              <w:br/>
              <w:t xml:space="preserve">- Practical assessment demonstrating safe operation and emergency response</w:t>
              <w:br/>
              <w:t xml:space="preserve">- Refresher training annually or after 6 months of non-use</w:t>
              <w:br/>
              <w:t xml:space="preserve">- Retraining required after any safety incident or procedure changes</w:t>
              <w:br/>
              <w:t xml:space="preserve">- Documented training records for all operators</w:t>
              <w:br/>
              <w:t xml:space="preserve">- Induction briefing for any visitors or observers covering hazards and emergency procedures</w:t>
              <w:br/>
              <w:t xml:space="preserve">- Prohibition of operation outside authorised users list</w:t>
              <w:br/>
              <w:t xml:space="preserve">- Clear signage indicating training requirement</w:t>
              <w:br/>
              <w:t xml:space="preserve">- Training must include all hazard categories and emergency procedures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Software and control system hazards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Software malfunctions, incorrect programming of tapering or splicing processes, control system failures, and human-computer interface errors.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Uncontrolled equipment operation from software errors</w:t>
              <w:br/>
              <w:t xml:space="preserve">- Component damage from incorrect process parameters</w:t>
              <w:br/>
              <w:t xml:space="preserve">- Safety system bypass from software faults</w:t>
              <w:br/>
              <w:t xml:space="preserve">- Operator confusion from unclear interface leading to errors</w:t>
              <w:br/>
              <w:t xml:space="preserve">- Inability to execute emergency stop if software freezes</w:t>
              <w:br/>
              <w:t xml:space="preserve">- Loss of critical safety data or process monitoring</w:t>
              <w:br/>
              <w:t xml:space="preserve">- Repetitive strain from poorly designed user interface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LabVIEW-based GUI designed for simplified operation</w:t>
              <w:br/>
              <w:t xml:space="preserve">- Table-based tapering software provides process control with preview capability</w:t>
              <w:br/>
              <w:t xml:space="preserve">- Automatic process capture and documentation</w:t>
              <w:br/>
              <w:t xml:space="preserve">- Multiple software interfaces available (including MATLAB, Excel for custom programs)</w:t>
              <w:br/>
              <w:t xml:space="preserve">- PC with all necessary software pre-installed and configured</w:t>
              <w:br/>
              <w:t xml:space="preserve">- Manufacturer software updates and support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Training must include software operation and common error messages</w:t>
              <w:br/>
              <w:t xml:space="preserve">- Emergency stop remains functional regardless of software state (hardware-based)</w:t>
              <w:br/>
              <w:t xml:space="preserve">- Software version control and change management procedures</w:t>
              <w:br/>
              <w:t xml:space="preserve">- Validation of custom programs before use on actual components</w:t>
              <w:br/>
              <w:t xml:space="preserve">- Test runs with dummy components before processing valuable materials</w:t>
              <w:br/>
              <w:t xml:space="preserve">- Regular software backups and system restore points</w:t>
              <w:br/>
              <w:t xml:space="preserve">- Procedure for software failure during operation (safe shutdown process)</w:t>
              <w:br/>
              <w:t xml:space="preserve">- Documentation of all custom programs with safety parameter limits</w:t>
              <w:br/>
              <w:t xml:space="preserve">- User access controls to prevent unauthorised software changes</w:t>
              <w:br/>
              <w:t xml:space="preserve">- Annual software functionality testing including emergency stop interface</w:t>
              <w:br/>
              <w:t xml:space="preserve">- Prohibition of using software from untrusted sources</w:t>
              <w:br/>
              <w:t xml:space="preserve">- Documented process for reporting software issues</w:t>
              <w:br/>
              <w:t xml:space="preserve">- Redundant control (physical emergency stop) independent of software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General laboratory safety and housekeeping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Cluttered work area, spills, trip hazards from cables and air lines, inadequate lighting, poor ventilation, and general laboratory hazards.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Trips and falls causing injury</w:t>
              <w:br/>
              <w:t xml:space="preserve">- Inability to access emergency equipment or exits</w:t>
              <w:br/>
              <w:t xml:space="preserve">- Increased risk of contamination or cross-contamination</w:t>
              <w:br/>
              <w:t xml:space="preserve">- Fire hazards from combustible materials near heat sources</w:t>
              <w:br/>
              <w:t xml:space="preserve">- Electrical hazards from cable damage</w:t>
              <w:br/>
              <w:t xml:space="preserve">- Delayed emergency response due to obstructed access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Defined equipment footprint (71cm W x 56cm D x 43cm H)</w:t>
              <w:br/>
              <w:t xml:space="preserve">- Specified weight (~75 kg) allows for stable positioning</w:t>
              <w:br/>
              <w:t xml:space="preserve">- Necessary cables and connections provided by manufacturer</w:t>
              <w:br/>
              <w:t xml:space="preserve">- Equipment designed for laboratory bench installation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Defined equipment location with adequate clearance on all sides (minimum 1 metre)</w:t>
              <w:br/>
              <w:t xml:space="preserve">- Cable management system to prevent trip hazards</w:t>
              <w:br/>
              <w:t xml:space="preserve">- Regular housekeeping schedule (daily cleanup, weekly deep clean)</w:t>
              <w:br/>
              <w:t xml:space="preserve">- Clear access to emergency stop, fire extinguisher, and exits at all times</w:t>
              <w:br/>
              <w:t xml:space="preserve">- Adequate bench space for component staging and handling</w:t>
              <w:br/>
              <w:t xml:space="preserve">- Non-slip matting if floor surface is smooth</w:t>
              <w:br/>
              <w:t xml:space="preserve">- Adequate lighting for precision work (minimum 500 lux at work surface)</w:t>
              <w:br/>
              <w:t xml:space="preserve">- Ventilation adequate for heat dissipation and any fumes</w:t>
              <w:br/>
              <w:t xml:space="preserve">- Storage system for electrodes, fibre holders, and accessories</w:t>
              <w:br/>
              <w:t xml:space="preserve">- Spill kit appropriate for any chemicals used</w:t>
              <w:br/>
              <w:t xml:space="preserve">- Clear labelling of all gas lines, electrical connections, and controls</w:t>
              <w:br/>
              <w:t xml:space="preserve">- Daily pre-operation area inspection checklist</w:t>
              <w:br/>
              <w:t xml:space="preserve">- Immediate cleanup of any spills or broken components</w:t>
              <w:br/>
              <w:t xml:space="preserve">- Fire extinguisher (suitable for electrical fires) within 10 metres</w:t>
              <w:br/>
              <w:t xml:space="preserve">- Monthly safety inspection of work area and equipment surrounds</w:t>
              <w:br/>
              <w:t xml:space="preserve">- Prohibition of food and drink in equipment operation area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</w:tbl>
    <w:p w14:paraId="4D9F079F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pgSz w:w="16838" w:h="11906" w:orient="landscape" w:code="9"/>
          <w:pgMar w:top="1080" w:right="1440" w:bottom="707" w:left="144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A1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2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05823" w:rsidRPr="00B82F21" w14:paraId="4D9F07A5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A3" w14:textId="77777777" w:rsidR="00B0582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Implementation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of Additional </w:t>
            </w:r>
            <w:r w:rsidR="008C10B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Risk 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Controls</w:t>
            </w:r>
          </w:p>
          <w:p w14:paraId="4D9F07A4" w14:textId="77777777" w:rsidR="00B05823" w:rsidRPr="0081588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2079"/>
        <w:gridCol w:w="2074"/>
        <w:gridCol w:w="2075"/>
        <w:gridCol w:w="2098"/>
        <w:gridCol w:w="2159"/>
      </w:tblGrid>
      <w:tr w:rsidR="00B05823" w:rsidRPr="00B82F21" w14:paraId="4D9F07AB" w14:textId="77777777" w:rsidTr="00B87623">
        <w:trPr>
          <w:trHeight w:val="602"/>
        </w:trPr>
        <w:tc>
          <w:tcPr>
            <w:tcW w:w="2080" w:type="dxa"/>
            <w:shd w:val="clear" w:color="auto" w:fill="C6D9F1" w:themeFill="text2" w:themeFillTint="33"/>
          </w:tcPr>
          <w:p w14:paraId="4D9F07A6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Additional controls needed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7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Resources required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8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Responsible person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9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 of implementation</w:t>
            </w:r>
          </w:p>
        </w:tc>
        <w:tc>
          <w:tcPr>
            <w:tcW w:w="2165" w:type="dxa"/>
            <w:shd w:val="clear" w:color="auto" w:fill="C6D9F1" w:themeFill="text2" w:themeFillTint="33"/>
          </w:tcPr>
          <w:p w14:paraId="4D9F07AA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RiskWare Reference</w:t>
            </w:r>
          </w:p>
        </w:tc>
      </w:tr>
      <w:tr w:rsidR="00B05823" w:rsidRPr="009446B2" w14:paraId="4D9F07B1" w14:textId="77777777" w:rsidTr="00B87623">
        <w:trPr>
          <w:trHeight w:val="674"/>
        </w:trPr>
        <w:tc>
          <w:tcPr>
            <w:tcW w:w="2080" w:type="dxa"/>
          </w:tcPr>
          <w:p w14:paraId="4D9F07AC" w14:textId="175E0698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CBF">
              <w:rPr>
                <w:rFonts w:ascii="Arial" w:hAnsi="Arial" w:cs="Arial"/>
                <w:color w:val="000000"/>
                <w:sz w:val="18"/>
                <w:szCs w:val="18"/>
              </w:rPr>
              <w:t>Write the Safe Work Procedure (SWP)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564F" w:rsidRPr="009446B2">
              <w:rPr>
                <w:rFonts w:ascii="Arial" w:hAnsi="Arial" w:cs="Arial"/>
                <w:color w:val="000000"/>
                <w:sz w:val="18"/>
                <w:szCs w:val="18"/>
              </w:rPr>
              <w:t>or clinical protocol</w:t>
            </w:r>
            <w:r w:rsidR="00A9564F" w:rsidRPr="00FE5C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27DB5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>relevant activit</w:t>
            </w:r>
            <w:r w:rsidR="001F5A17" w:rsidRPr="009446B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80" w:type="dxa"/>
          </w:tcPr>
          <w:p w14:paraId="4D9F07AD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Time (approx 1 hour)</w:t>
            </w:r>
          </w:p>
        </w:tc>
        <w:tc>
          <w:tcPr>
            <w:tcW w:w="2080" w:type="dxa"/>
          </w:tcPr>
          <w:p w14:paraId="4D9F07AE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AF" w14:textId="3F90E699" w:rsidR="00B05823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B0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80969" w:rsidRPr="009446B2" w14:paraId="4D9F07B7" w14:textId="77777777" w:rsidTr="00B87623">
        <w:trPr>
          <w:trHeight w:val="674"/>
        </w:trPr>
        <w:tc>
          <w:tcPr>
            <w:tcW w:w="2080" w:type="dxa"/>
          </w:tcPr>
          <w:p w14:paraId="4D9F07B2" w14:textId="0D2FBAD5" w:rsidR="00280969" w:rsidRPr="009446B2" w:rsidRDefault="008023CD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Education and training</w:t>
            </w:r>
            <w:r w:rsidR="00BC57B2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for</w:t>
            </w:r>
            <w:r w:rsidR="00280969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workers to complete process in accordance with SWP</w:t>
            </w:r>
          </w:p>
        </w:tc>
        <w:tc>
          <w:tcPr>
            <w:tcW w:w="2080" w:type="dxa"/>
          </w:tcPr>
          <w:p w14:paraId="4D9F07B3" w14:textId="77777777" w:rsidR="00280969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Time </w:t>
            </w:r>
            <w:r w:rsidR="00577720" w:rsidRPr="009446B2">
              <w:rPr>
                <w:rFonts w:ascii="Arial" w:hAnsi="Arial" w:cs="Arial"/>
                <w:color w:val="000000"/>
                <w:sz w:val="18"/>
                <w:szCs w:val="18"/>
              </w:rPr>
              <w:t>– supervisor and worker</w:t>
            </w:r>
            <w:r w:rsidR="004D0EA0" w:rsidRPr="009446B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80" w:type="dxa"/>
          </w:tcPr>
          <w:p w14:paraId="4D9F07B4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B5" w14:textId="34EB42C4" w:rsidR="00280969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B6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Manufacturer training completion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Training course booking, travel costs if off-site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Competency assessment program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Assessment tools, time for practical evaluation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Supervisor/Trainer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Authorised users list creation and display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Signage, documentation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RCD installation on power supply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electrician, RCD unit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Facilities/Safety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Annual electrical safety inspection schedule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electrician, budget allocation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Within 12 months of installation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Thermal inspection camera procurement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Budget for camera purchase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first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Sharps disposal containers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Appropriate containers, waste contract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SDS collection for all chemicals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Contact manufacturers, file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Staff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Ergonomic workstation setup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Adjustable chair, assessment tool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OH Coordinator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regular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Emergency shutdown procedure signage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Sign design and printing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Exclusion zone markings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Floor tape, warning signs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Staff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aid kit with splinter removal tools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aid supplies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First Aid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Vacuum system inspection procedure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Procedure documentation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vacuum operation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Compressed air line inspection schedule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Inspection checklist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Software validation and backup procedures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support, documentation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IT/Laboratory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equipment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</w:tbl>
    <w:p w14:paraId="4D9F07CA" w14:textId="77777777" w:rsidR="00217A06" w:rsidRPr="009446B2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CB" w14:textId="77777777" w:rsidR="006033AD" w:rsidRPr="009446B2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901F0" w:rsidRPr="00B05823" w14:paraId="4D9F07CE" w14:textId="77777777" w:rsidTr="00B87623">
        <w:trPr>
          <w:trHeight w:val="262"/>
        </w:trPr>
        <w:tc>
          <w:tcPr>
            <w:tcW w:w="10485" w:type="dxa"/>
            <w:shd w:val="clear" w:color="auto" w:fill="C6D9F1" w:themeFill="text2" w:themeFillTint="33"/>
            <w:vAlign w:val="center"/>
          </w:tcPr>
          <w:p w14:paraId="348A9A47" w14:textId="77777777" w:rsidR="00BD0532" w:rsidRPr="009446B2" w:rsidRDefault="00A901F0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List emergency controls </w:t>
            </w:r>
          </w:p>
          <w:p w14:paraId="4D9F07CC" w14:textId="4DC1D46F" w:rsidR="00A901F0" w:rsidRPr="00BD0532" w:rsidRDefault="00BD0532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These might include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how to deal with fires, spills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,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emergency shutdown of equipment,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exposure to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hazardous materials</w:t>
            </w:r>
            <w:r w:rsidR="00C140B0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and</w:t>
            </w:r>
            <w:r w:rsidR="00616132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564B21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adverse reactions or the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deteriorating </w:t>
            </w:r>
            <w:r w:rsidR="0045613C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condition of 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pat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i</w:t>
            </w:r>
            <w:r w:rsidR="00325371" w:rsidRPr="009446B2">
              <w:rPr>
                <w:rFonts w:ascii="Arial" w:hAnsi="Arial" w:cs="Arial"/>
                <w:i w:val="0"/>
                <w:sz w:val="18"/>
                <w:szCs w:val="18"/>
              </w:rPr>
              <w:t>e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nts/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research 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participants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in our care</w:t>
            </w:r>
            <w:r w:rsidR="009446B2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14:paraId="4D9F07CD" w14:textId="77777777" w:rsidR="008C10B6" w:rsidRPr="00B05823" w:rsidRDefault="008C10B6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10485"/>
      </w:tblGrid>
      <w:tr w:rsidR="00A901F0" w:rsidRPr="00B05823" w14:paraId="4D9F07D5" w14:textId="77777777" w:rsidTr="00B87623">
        <w:trPr>
          <w:trHeight w:val="303"/>
        </w:trPr>
        <w:tc>
          <w:tcPr>
            <w:tcW w:w="10485" w:type="dxa"/>
          </w:tcPr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 SAFETY PROHIBITIONS (apply at all times):</w:t>
              <w:br/>
              <w:t xml:space="preserve">- NEVER disable safety interlocks or protective systems</w:t>
              <w:br/>
              <w:t xml:space="preserve">- NEVER operate without appropriate thermal and eye protection</w:t>
              <w:br/>
              <w:t xml:space="preserve">- NEVER leave the system unattended during operation</w:t>
              <w:br/>
              <w:t xml:space="preserve">- NEVER attempt to touch or inspect components during or immediately after plasma operation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SHUTDOWN:</w:t>
              <w:br/>
              <w:t xml:space="preserve">1. Press EMERGENCY STOP button (location to be identified on equipment and documented in SWP)</w:t>
              <w:br/>
              <w:t xml:space="preserve">2. Close compressed air supply using emergency shut-off valve</w:t>
              <w:br/>
              <w:t xml:space="preserve">3. If emergency stop fails: switch off power at mains isolator</w:t>
              <w:br/>
              <w:t xml:space="preserve">4. Do NOT attempt to restart until: the emergency condition has been fully resolved; the equipment has been inspected by a competent person; the supervisor has authorised restart; and any necessary repairs have been completed.</w:t>
              <w:br/>
              <w:t xml:space="preserve">Do not restart if: equipment damage is visible; unusual sounds, smells, or visual signs were present during the emergency; the cause of the emergency is not fully understood; or any safety system appears compromised.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FIRE EMERGENCY:</w:t>
              <w:br/>
              <w:t xml:space="preserve">1. Activate emergency stop to shut down all systems</w:t>
              <w:br/>
              <w:t xml:space="preserve">2. Close compressed air supply immediately</w:t>
              <w:br/>
              <w:t xml:space="preserve">3. If fire is small and contained: use appropriate fire extinguisher (CO2 or dry powder for electrical fires); ensure you have a clear escape route; do not fight the fire if it threatens your safety</w:t>
              <w:br/>
              <w:t xml:space="preserve">4. If fire is spreading or involves stored compressed gases: evacuate area immediately; activate building fire alarm; call 000 (Emergency Services); evacuate to assembly point</w:t>
              <w:br/>
              <w:t xml:space="preserve">5. After fire is extinguished: do not re-enter area until declared safe by emergency services; equipment must be inspected before any restart attempt; complete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THERMAL BURN INJURY:</w:t>
              <w:br/>
              <w:t xml:space="preserve">1. Immediately cool affected area under running cold water for at least 20 minutes</w:t>
              <w:br/>
              <w:t xml:space="preserve">2. Remove jewellery or constricting items before swelling occurs</w:t>
              <w:br/>
              <w:t xml:space="preserve">3. Do NOT apply ice, ointments, or home remedies</w:t>
              <w:br/>
              <w:t xml:space="preserve">4. Cover burn with sterile non-stick dressing after cooling</w:t>
              <w:br/>
              <w:t xml:space="preserve">5. Seek immediate medical attention for: burns larger than a 20-cent coin; burns to face, hands, feet, genitals, or major joints; full thickness burns (white, waxy, or charred appearance); any burn causing severe pain or blistering</w:t>
              <w:br/>
              <w:t xml:space="preserve">6. For chemical burns: flush with copious water and seek immediate medical attention</w:t>
              <w:br/>
              <w:t xml:space="preserve">7. Complete incident report and inform supervisor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 SHOCK:</w:t>
              <w:br/>
              <w:t xml:space="preserve">1. Do NOT touch the person if they are still in contact with the electrical source</w:t>
              <w:br/>
              <w:t xml:space="preserve">2. Switch off power at mains or remove person using non-conductive material (dry wood, plastic)</w:t>
              <w:br/>
              <w:t xml:space="preserve">3. Call 000 immediately if person is unconscious or not breathing</w:t>
              <w:br/>
              <w:t xml:space="preserve">4. If trained in CPR, commence if required</w:t>
              <w:br/>
              <w:t xml:space="preserve">5. If conscious but shocked: have person lie down and stay still</w:t>
              <w:br/>
              <w:t xml:space="preserve">6. Treat any burns as per thermal burn procedure</w:t>
              <w:br/>
              <w:t xml:space="preserve">7. Seek medical attention for all electric shock incidents</w:t>
              <w:br/>
              <w:t xml:space="preserve">8. Equipment must be tagged out and inspected before any restart</w:t>
              <w:br/>
              <w:t xml:space="preserve">9. Complete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GLASS INJURY (CUTS OR EMBEDDED FRAGMENTS):</w:t>
              <w:br/>
              <w:t xml:space="preserve">1. Do NOT attempt to remove embedded glass - seek medical attention</w:t>
              <w:br/>
              <w:t xml:space="preserve">2. For minor cuts: clean wound gently with clean water; apply sterile dressing; seek medical attention if bleeding does not stop</w:t>
              <w:br/>
              <w:t xml:space="preserve">3. For eye injuries: do NOT rub eye; do NOT attempt to remove any object from eye; cover eye with sterile dressing without pressure; seek immediate medical attention</w:t>
              <w:br/>
              <w:t xml:space="preserve">4. For deep cuts or significant bleeding: apply direct pressure with clean cloth; elevate injured area if possible; call 000 if bleeding is severe</w:t>
              <w:br/>
              <w:t xml:space="preserve">5. All glass injuries must be reported to supervisor</w:t>
              <w:br/>
              <w:t xml:space="preserve">6. Complete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COMPRESSED AIR SYSTEM FAILURE:</w:t>
              <w:br/>
              <w:t xml:space="preserve">1. Activate emergency stop</w:t>
              <w:br/>
              <w:t xml:space="preserve">2. Close compressed air supply at emergency shut-off valve</w:t>
              <w:br/>
              <w:t xml:space="preserve">3. Evacuate area if loud hissing or visible air leaks present</w:t>
              <w:br/>
              <w:t xml:space="preserve">4. Do NOT approach failed air lines or fittings</w:t>
              <w:br/>
              <w:t xml:space="preserve">5. If injury from air blast: move to safe area; seek immediate medical attention for suspected air embolism (chest pain, difficulty breathing, confusion); treat any projectile injuries</w:t>
              <w:br/>
              <w:t xml:space="preserve">6. Lock out and tag equipment</w:t>
              <w:br/>
              <w:t xml:space="preserve">7. Contact maintenance for pressure system inspection</w:t>
              <w:br/>
              <w:t xml:space="preserve">8. Complete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VACUUM SYSTEM FAILURE:</w:t>
              <w:br/>
              <w:t xml:space="preserve">1. Activate emergency stop</w:t>
              <w:br/>
              <w:t xml:space="preserve">2. Vent vacuum chamber using controlled venting procedure (if safe to do so)</w:t>
              <w:br/>
              <w:t xml:space="preserve">3. If catastrophic failure (implosion or explosion): evacuate area immediately; call emergency services if injuries present; do not re-enter until area declared safe</w:t>
              <w:br/>
              <w:t xml:space="preserve">4. If rapid inrush of air: check for injuries from flying debris or noise trauma; seek medical attention as required</w:t>
              <w:br/>
              <w:t xml:space="preserve">5. Lock out and tag equipment</w:t>
              <w:br/>
              <w:t xml:space="preserve">6. Complete incident report</w:t>
              <w:br/>
              <w:t xml:space="preserve">7. Equipment must be inspected by qualified technician before any restart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SOFTWARE/CONTROL SYSTEM FAILURE:</w:t>
              <w:br/>
              <w:t xml:space="preserve">1. Attempt emergency stop via software interface</w:t>
              <w:br/>
              <w:t xml:space="preserve">2. If software unresponsive: use physical emergency stop button</w:t>
              <w:br/>
              <w:t xml:space="preserve">3. If both fail: switch off power at mains</w:t>
              <w:br/>
              <w:t xml:space="preserve">4. Record error messages or system state if safe to do so</w:t>
              <w:br/>
              <w:t xml:space="preserve">5. Do NOT attempt to restart until IT/technical support has assessed</w:t>
              <w:br/>
              <w:t xml:space="preserve">6. Lock out and tag equipment</w:t>
              <w:br/>
              <w:t xml:space="preserve">7. Complete incident report</w:t>
              <w:br/>
              <w:t xml:space="preserve">8. Contact manufacturer technical support for software issues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CONTACTS:</w:t>
              <w:br/>
              <w:t xml:space="preserve">- Emergency Services: 000</w:t>
              <w:br/>
              <w:t xml:space="preserve">- University Security (after hours): 9351 3333</w:t>
              <w:br/>
              <w:t xml:space="preserve">- Supervisor: Sergio Leon-Saval</w:t>
              <w:br/>
              <w:t xml:space="preserve">- Safety Officer: Chris Betters</w:t>
              <w:br/>
              <w:t xml:space="preserve">- First Aid Officers: Christopher Hoffmann (Rm 227)</w:t>
            </w:r>
          </w:p>
          <w:p w14:paraId="4D9F07D4" w14:textId="77777777" w:rsidR="0038677F" w:rsidRPr="00B05823" w:rsidRDefault="0038677F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D6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D7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6033AD" w:rsidRPr="00B05823" w14:paraId="4D9F07DA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D8" w14:textId="77777777" w:rsidR="006033AD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REVIEW</w:t>
            </w:r>
          </w:p>
          <w:p w14:paraId="4D9F07D9" w14:textId="77777777" w:rsidR="006033AD" w:rsidRPr="00B05823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5637"/>
        <w:gridCol w:w="1559"/>
        <w:gridCol w:w="1559"/>
        <w:gridCol w:w="1730"/>
      </w:tblGrid>
      <w:tr w:rsidR="006033AD" w:rsidRPr="00B05823" w14:paraId="4D9F07E0" w14:textId="77777777" w:rsidTr="00B87623">
        <w:trPr>
          <w:trHeight w:val="243"/>
        </w:trPr>
        <w:tc>
          <w:tcPr>
            <w:tcW w:w="5637" w:type="dxa"/>
            <w:shd w:val="clear" w:color="auto" w:fill="C6D9F1" w:themeFill="text2" w:themeFillTint="33"/>
          </w:tcPr>
          <w:p w14:paraId="4D9F07D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Scheduled review date</w:t>
            </w:r>
          </w:p>
          <w:p w14:paraId="4D9F07D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9F07D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D9F07D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2 years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4D9F07DF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3 years</w:t>
            </w:r>
          </w:p>
        </w:tc>
      </w:tr>
      <w:tr w:rsidR="006033AD" w:rsidRPr="00B05823" w14:paraId="4D9F07E5" w14:textId="77777777" w:rsidTr="00B87623">
        <w:trPr>
          <w:trHeight w:val="272"/>
        </w:trPr>
        <w:tc>
          <w:tcPr>
            <w:tcW w:w="5637" w:type="dxa"/>
            <w:shd w:val="clear" w:color="auto" w:fill="C6D9F1" w:themeFill="text2" w:themeFillTint="33"/>
          </w:tcPr>
          <w:p w14:paraId="4D9F07E1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 measures in place (YES/NO)</w:t>
            </w:r>
          </w:p>
        </w:tc>
        <w:tc>
          <w:tcPr>
            <w:tcW w:w="1559" w:type="dxa"/>
          </w:tcPr>
          <w:p w14:paraId="4D9F07E2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3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4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A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controls eliminating or minimizing the risk (YES/NO)</w:t>
            </w:r>
          </w:p>
        </w:tc>
        <w:tc>
          <w:tcPr>
            <w:tcW w:w="1559" w:type="dxa"/>
          </w:tcPr>
          <w:p w14:paraId="4D9F07E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9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F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sz w:val="20"/>
                <w:szCs w:val="20"/>
              </w:rPr>
              <w:t>Are there any new problems with the risk (YES/NO)</w:t>
            </w:r>
          </w:p>
        </w:tc>
        <w:tc>
          <w:tcPr>
            <w:tcW w:w="1559" w:type="dxa"/>
          </w:tcPr>
          <w:p w14:paraId="4D9F07E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0969" w:rsidRPr="00B05823" w14:paraId="4D9F07F4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F0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Reviewed by: </w:t>
            </w:r>
          </w:p>
        </w:tc>
        <w:tc>
          <w:tcPr>
            <w:tcW w:w="1559" w:type="dxa"/>
          </w:tcPr>
          <w:p w14:paraId="4D9F07F1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2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3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F9" w14:textId="77777777" w:rsidTr="00B87623">
        <w:trPr>
          <w:trHeight w:val="266"/>
        </w:trPr>
        <w:tc>
          <w:tcPr>
            <w:tcW w:w="5637" w:type="dxa"/>
            <w:shd w:val="clear" w:color="auto" w:fill="C6D9F1" w:themeFill="text2" w:themeFillTint="33"/>
          </w:tcPr>
          <w:p w14:paraId="4D9F07F5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Actual Review date:</w:t>
            </w:r>
          </w:p>
        </w:tc>
        <w:tc>
          <w:tcPr>
            <w:tcW w:w="1559" w:type="dxa"/>
          </w:tcPr>
          <w:p w14:paraId="4D9F07F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FA" w14:textId="77777777" w:rsidR="0016205B" w:rsidRDefault="006033AD" w:rsidP="00577720">
      <w:pPr>
        <w:rPr>
          <w:rFonts w:ascii="Arial" w:hAnsi="Arial" w:cs="Arial"/>
          <w:color w:val="000000"/>
          <w:sz w:val="20"/>
          <w:szCs w:val="20"/>
        </w:rPr>
        <w:sectPr w:rsidR="0016205B" w:rsidSect="007B418C"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D9F07FB" w14:textId="77777777" w:rsidR="009546C4" w:rsidRDefault="009546C4" w:rsidP="00577720">
      <w:pPr>
        <w:rPr>
          <w:rFonts w:ascii="Arial" w:hAnsi="Arial" w:cs="Arial"/>
          <w:color w:val="000000"/>
          <w:sz w:val="20"/>
          <w:szCs w:val="20"/>
        </w:rPr>
      </w:pPr>
    </w:p>
    <w:p w14:paraId="4D9F07FC" w14:textId="77777777" w:rsidR="00B05823" w:rsidRPr="00B05823" w:rsidRDefault="00B05823" w:rsidP="00CA455F">
      <w:pPr>
        <w:pStyle w:val="Header"/>
        <w:jc w:val="left"/>
        <w:rPr>
          <w:rFonts w:ascii="Arial" w:hAnsi="Arial" w:cs="Arial"/>
          <w:b/>
          <w:bCs/>
          <w:i w:val="0"/>
        </w:rPr>
      </w:pPr>
    </w:p>
    <w:p w14:paraId="4D9F07FD" w14:textId="77777777" w:rsidR="00CA455F" w:rsidRPr="00B05823" w:rsidRDefault="00CA455F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  <w:r w:rsidRPr="00B05823">
        <w:rPr>
          <w:rFonts w:ascii="Arial" w:hAnsi="Arial" w:cs="Arial"/>
          <w:b/>
          <w:bCs/>
          <w:i w:val="0"/>
        </w:rPr>
        <w:t>Risk Matrix</w:t>
      </w:r>
      <w:r w:rsidRPr="00B05823">
        <w:rPr>
          <w:rFonts w:ascii="Arial" w:hAnsi="Arial" w:cs="Arial"/>
          <w:bCs/>
          <w:i w:val="0"/>
          <w:sz w:val="18"/>
          <w:szCs w:val="18"/>
        </w:rPr>
        <w:t>.</w:t>
      </w:r>
    </w:p>
    <w:p w14:paraId="4D9F07FE" w14:textId="34D0D972" w:rsidR="00B05823" w:rsidRDefault="00B05823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</w:p>
    <w:p w14:paraId="1B395F89" w14:textId="0476E3EF" w:rsidR="2E059180" w:rsidRDefault="00780623" w:rsidP="2E059180">
      <w:pPr>
        <w:rPr>
          <w:noProof/>
        </w:rPr>
      </w:pPr>
      <w:r>
        <w:rPr>
          <w:noProof/>
        </w:rPr>
        <w:drawing>
          <wp:inline distT="0" distB="0" distL="0" distR="0" wp14:anchorId="426037BF" wp14:editId="00477C52">
            <wp:extent cx="5905500" cy="4107180"/>
            <wp:effectExtent l="0" t="0" r="0" b="7620"/>
            <wp:docPr id="1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30B7C" w14:textId="55AC6EB6" w:rsidR="00470D48" w:rsidRPr="00B87623" w:rsidRDefault="00470D48" w:rsidP="007D17E1"/>
    <w:p w14:paraId="53200DB7" w14:textId="0FBAF7E8" w:rsidR="00470D48" w:rsidRPr="00B87623" w:rsidRDefault="00470D48" w:rsidP="007D17E1"/>
    <w:p w14:paraId="12C52B44" w14:textId="31199B15" w:rsidR="00470D48" w:rsidRPr="00B87623" w:rsidRDefault="00470D48" w:rsidP="007D17E1"/>
    <w:p w14:paraId="3E5F4421" w14:textId="625F7A44" w:rsidR="00470D48" w:rsidRPr="00B87623" w:rsidRDefault="00470D48"/>
    <w:p w14:paraId="02496B3A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15DBACF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D510121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CE170DB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8DDE2A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9EE753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12A4BA2C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852B1E8" w14:textId="77777777" w:rsidR="00470D48" w:rsidRPr="00B87623" w:rsidRDefault="00470D48" w:rsidP="00B87623">
      <w:pPr>
        <w:tabs>
          <w:tab w:val="left" w:pos="1530"/>
        </w:tabs>
        <w:rPr>
          <w:rFonts w:ascii="Arial" w:hAnsi="Arial" w:cs="Arial"/>
          <w:sz w:val="18"/>
          <w:szCs w:val="18"/>
        </w:rPr>
      </w:pPr>
    </w:p>
    <w:sectPr w:rsidR="00470D48" w:rsidRPr="00B87623" w:rsidSect="00373F31"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37DC7C" w14:textId="77777777" w:rsidR="00EC195F" w:rsidRDefault="00EC195F" w:rsidP="003060D5">
      <w:r>
        <w:separator/>
      </w:r>
    </w:p>
  </w:endnote>
  <w:endnote w:type="continuationSeparator" w:id="0">
    <w:p w14:paraId="2570361F" w14:textId="77777777" w:rsidR="00EC195F" w:rsidRDefault="00EC195F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21C95" w14:textId="77777777" w:rsidR="00982821" w:rsidRDefault="0098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7" w14:textId="322B26E9" w:rsidR="00577720" w:rsidRPr="00793E67" w:rsidRDefault="00577720" w:rsidP="00F906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9DA7F4" w14:textId="77777777" w:rsidR="00982821" w:rsidRDefault="0098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F2072F" w14:textId="77777777" w:rsidR="00EC195F" w:rsidRDefault="00EC195F" w:rsidP="003060D5">
      <w:r>
        <w:separator/>
      </w:r>
    </w:p>
  </w:footnote>
  <w:footnote w:type="continuationSeparator" w:id="0">
    <w:p w14:paraId="10F4E1D3" w14:textId="77777777" w:rsidR="00EC195F" w:rsidRDefault="00EC195F" w:rsidP="003060D5">
      <w:r>
        <w:continuationSeparator/>
      </w:r>
    </w:p>
  </w:footnote>
  <w:footnote w:id="1">
    <w:p w14:paraId="60332104" w14:textId="0B2D9B54" w:rsidR="00470D48" w:rsidRPr="00B87623" w:rsidRDefault="00470D48" w:rsidP="00470D48">
      <w:pPr>
        <w:pStyle w:val="Footer"/>
        <w:rPr>
          <w:sz w:val="16"/>
          <w:szCs w:val="16"/>
        </w:rPr>
      </w:pPr>
      <w:r w:rsidRPr="00FE5CBF">
        <w:rPr>
          <w:rStyle w:val="FootnoteReference"/>
        </w:rPr>
        <w:footnoteRef/>
      </w:r>
      <w:r w:rsidRPr="00FE5CBF">
        <w:t xml:space="preserve"> </w:t>
      </w:r>
      <w:r w:rsidRPr="009446B2">
        <w:rPr>
          <w:rFonts w:ascii="Arial" w:hAnsi="Arial"/>
          <w:sz w:val="16"/>
          <w:szCs w:val="16"/>
        </w:rPr>
        <w:t xml:space="preserve">This tool </w:t>
      </w:r>
      <w:r w:rsidR="00F3690D" w:rsidRPr="009446B2">
        <w:rPr>
          <w:rFonts w:ascii="Arial" w:hAnsi="Arial"/>
          <w:sz w:val="16"/>
          <w:szCs w:val="16"/>
        </w:rPr>
        <w:t>should</w:t>
      </w:r>
      <w:r w:rsidR="00D973A3" w:rsidRPr="009446B2">
        <w:rPr>
          <w:rFonts w:ascii="Arial" w:hAnsi="Arial"/>
          <w:sz w:val="16"/>
          <w:szCs w:val="16"/>
        </w:rPr>
        <w:t xml:space="preserve"> also</w:t>
      </w:r>
      <w:r w:rsidRPr="009446B2">
        <w:rPr>
          <w:rFonts w:ascii="Arial" w:hAnsi="Arial"/>
          <w:sz w:val="16"/>
          <w:szCs w:val="16"/>
        </w:rPr>
        <w:t xml:space="preserve"> be used to assess the risk associated with clinical activities.</w:t>
      </w:r>
      <w:r w:rsidRPr="00FE5CBF">
        <w:rPr>
          <w:rFonts w:ascii="Arial" w:hAnsi="Arial"/>
          <w:sz w:val="16"/>
          <w:szCs w:val="16"/>
        </w:rPr>
        <w:t xml:space="preserve"> </w:t>
      </w:r>
      <w:r w:rsidR="00477980" w:rsidRPr="009446B2">
        <w:rPr>
          <w:rFonts w:ascii="Arial" w:hAnsi="Arial"/>
          <w:sz w:val="16"/>
          <w:szCs w:val="16"/>
        </w:rPr>
        <w:t xml:space="preserve">Information gathered will be used to </w:t>
      </w:r>
      <w:r w:rsidR="00F26738" w:rsidRPr="009446B2">
        <w:rPr>
          <w:rFonts w:ascii="Arial" w:hAnsi="Arial"/>
          <w:sz w:val="16"/>
          <w:szCs w:val="16"/>
        </w:rPr>
        <w:t>guide the classification of clinics in accordance with the</w:t>
      </w:r>
      <w:r w:rsidR="00441A36" w:rsidRPr="009446B2">
        <w:rPr>
          <w:rFonts w:ascii="Arial" w:hAnsi="Arial"/>
          <w:sz w:val="16"/>
          <w:szCs w:val="16"/>
        </w:rPr>
        <w:t xml:space="preserve"> </w:t>
      </w:r>
      <w:r w:rsidR="00850286" w:rsidRPr="009446B2">
        <w:rPr>
          <w:rFonts w:ascii="Arial" w:hAnsi="Arial"/>
          <w:sz w:val="16"/>
          <w:szCs w:val="16"/>
        </w:rPr>
        <w:t>University’s</w:t>
      </w:r>
      <w:r w:rsidR="00441A36" w:rsidRPr="009446B2">
        <w:rPr>
          <w:rFonts w:ascii="Arial" w:hAnsi="Arial"/>
          <w:sz w:val="16"/>
          <w:szCs w:val="16"/>
        </w:rPr>
        <w:t xml:space="preserve"> Health Clinics and Clinical Services Policy and Procedures </w:t>
      </w:r>
      <w:r w:rsidR="00850286" w:rsidRPr="009446B2">
        <w:rPr>
          <w:rFonts w:ascii="Arial" w:hAnsi="Arial"/>
          <w:sz w:val="16"/>
          <w:szCs w:val="16"/>
        </w:rPr>
        <w:t>2020.</w:t>
      </w:r>
    </w:p>
    <w:p w14:paraId="564A5476" w14:textId="204B1DD9" w:rsidR="00470D48" w:rsidRPr="00B87623" w:rsidRDefault="009F166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footnote>
  <w:footnote w:id="2">
    <w:p w14:paraId="4D9F080D" w14:textId="7195D4AC" w:rsidR="0047767D" w:rsidRPr="009965F5" w:rsidRDefault="0047767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965F5">
        <w:rPr>
          <w:rFonts w:ascii="Arial" w:hAnsi="Arial" w:cs="Arial"/>
          <w:color w:val="000000"/>
          <w:sz w:val="16"/>
          <w:szCs w:val="16"/>
        </w:rPr>
        <w:t>Always consider whether it is possible to eliminate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the hazard or hazardous task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 altogether. If 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this is </w:t>
      </w:r>
      <w:r w:rsidRPr="009965F5">
        <w:rPr>
          <w:rFonts w:ascii="Arial" w:hAnsi="Arial" w:cs="Arial"/>
          <w:color w:val="000000"/>
          <w:sz w:val="16"/>
          <w:szCs w:val="16"/>
        </w:rPr>
        <w:t>not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possible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, refer to the </w:t>
      </w:r>
      <w:hyperlink r:id="rId1" w:history="1">
        <w:r w:rsidRPr="009965F5">
          <w:rPr>
            <w:rStyle w:val="Hyperlink"/>
            <w:rFonts w:ascii="Arial" w:hAnsi="Arial" w:cs="Arial"/>
            <w:sz w:val="16"/>
            <w:szCs w:val="16"/>
          </w:rPr>
          <w:t>hie</w:t>
        </w:r>
        <w:r w:rsidR="00D63A1F" w:rsidRPr="009965F5">
          <w:rPr>
            <w:rStyle w:val="Hyperlink"/>
            <w:rFonts w:ascii="Arial" w:hAnsi="Arial" w:cs="Arial"/>
            <w:sz w:val="16"/>
            <w:szCs w:val="16"/>
          </w:rPr>
          <w:t>rarchy of risk</w:t>
        </w:r>
        <w:r w:rsidRPr="009965F5">
          <w:rPr>
            <w:rStyle w:val="Hyperlink"/>
            <w:rFonts w:ascii="Arial" w:hAnsi="Arial" w:cs="Arial"/>
            <w:sz w:val="16"/>
            <w:szCs w:val="16"/>
          </w:rPr>
          <w:t xml:space="preserve"> controls</w:t>
        </w:r>
      </w:hyperlink>
      <w:r w:rsidRPr="009965F5">
        <w:rPr>
          <w:rFonts w:ascii="Arial" w:hAnsi="Arial" w:cs="Arial"/>
          <w:color w:val="000000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EC8A2A" w14:textId="77777777" w:rsidR="00982821" w:rsidRDefault="0098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6" w14:textId="77777777" w:rsidR="00577720" w:rsidRPr="00E33D40" w:rsidRDefault="00577720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RISK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8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D9F080B" wp14:editId="4D9F080C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6" name="Picture 6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9F0809" w14:textId="77777777" w:rsidR="00577720" w:rsidRPr="00184704" w:rsidRDefault="00577720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RISK ASSESSMENT FORM</w:t>
    </w:r>
  </w:p>
  <w:p w14:paraId="4D9F080A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106712">
    <w:abstractNumId w:val="4"/>
  </w:num>
  <w:num w:numId="2" w16cid:durableId="1831017593">
    <w:abstractNumId w:val="3"/>
  </w:num>
  <w:num w:numId="3" w16cid:durableId="135269822">
    <w:abstractNumId w:val="2"/>
  </w:num>
  <w:num w:numId="4" w16cid:durableId="1979608921">
    <w:abstractNumId w:val="0"/>
  </w:num>
  <w:num w:numId="5" w16cid:durableId="2130390421">
    <w:abstractNumId w:val="1"/>
  </w:num>
  <w:num w:numId="6" w16cid:durableId="325985707">
    <w:abstractNumId w:val="16"/>
  </w:num>
  <w:num w:numId="7" w16cid:durableId="2029796764">
    <w:abstractNumId w:val="14"/>
  </w:num>
  <w:num w:numId="8" w16cid:durableId="927881544">
    <w:abstractNumId w:val="9"/>
  </w:num>
  <w:num w:numId="9" w16cid:durableId="536116360">
    <w:abstractNumId w:val="17"/>
  </w:num>
  <w:num w:numId="10" w16cid:durableId="1762991480">
    <w:abstractNumId w:val="12"/>
  </w:num>
  <w:num w:numId="11" w16cid:durableId="1007485951">
    <w:abstractNumId w:val="6"/>
  </w:num>
  <w:num w:numId="12" w16cid:durableId="465005085">
    <w:abstractNumId w:val="15"/>
  </w:num>
  <w:num w:numId="13" w16cid:durableId="1422339806">
    <w:abstractNumId w:val="8"/>
  </w:num>
  <w:num w:numId="14" w16cid:durableId="449250301">
    <w:abstractNumId w:val="5"/>
  </w:num>
  <w:num w:numId="15" w16cid:durableId="1225069624">
    <w:abstractNumId w:val="18"/>
  </w:num>
  <w:num w:numId="16" w16cid:durableId="404499863">
    <w:abstractNumId w:val="11"/>
  </w:num>
  <w:num w:numId="17" w16cid:durableId="1343320056">
    <w:abstractNumId w:val="7"/>
  </w:num>
  <w:num w:numId="18" w16cid:durableId="1223130972">
    <w:abstractNumId w:val="10"/>
  </w:num>
  <w:num w:numId="19" w16cid:durableId="116417169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4"/>
    <w:rsid w:val="0000051D"/>
    <w:rsid w:val="00000EDB"/>
    <w:rsid w:val="000015F1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0B6"/>
    <w:rsid w:val="00021C3B"/>
    <w:rsid w:val="00022345"/>
    <w:rsid w:val="0002248D"/>
    <w:rsid w:val="00022C05"/>
    <w:rsid w:val="000239C2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879D3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BB"/>
    <w:rsid w:val="000E71FE"/>
    <w:rsid w:val="000E7A4B"/>
    <w:rsid w:val="000F1187"/>
    <w:rsid w:val="000F1EDC"/>
    <w:rsid w:val="000F26CB"/>
    <w:rsid w:val="000F2E36"/>
    <w:rsid w:val="000F30BC"/>
    <w:rsid w:val="000F3157"/>
    <w:rsid w:val="000F32BB"/>
    <w:rsid w:val="000F50EC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26A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05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5D2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3D27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55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A17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40D"/>
    <w:rsid w:val="0025460F"/>
    <w:rsid w:val="00254693"/>
    <w:rsid w:val="00254C41"/>
    <w:rsid w:val="00254C8E"/>
    <w:rsid w:val="00256083"/>
    <w:rsid w:val="0025608A"/>
    <w:rsid w:val="00260774"/>
    <w:rsid w:val="002609CA"/>
    <w:rsid w:val="00260DB6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771A3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563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7FA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6AE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371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09C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3F31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7E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142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25"/>
    <w:rsid w:val="003D33CE"/>
    <w:rsid w:val="003D36EF"/>
    <w:rsid w:val="003D4428"/>
    <w:rsid w:val="003D44BC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7AB"/>
    <w:rsid w:val="00437B94"/>
    <w:rsid w:val="00440170"/>
    <w:rsid w:val="00440BE1"/>
    <w:rsid w:val="00441A36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13C"/>
    <w:rsid w:val="00456512"/>
    <w:rsid w:val="00456880"/>
    <w:rsid w:val="0045770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0D48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980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3CD7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3C81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3458"/>
    <w:rsid w:val="004C4168"/>
    <w:rsid w:val="004C5DBA"/>
    <w:rsid w:val="004C62E2"/>
    <w:rsid w:val="004C68A1"/>
    <w:rsid w:val="004C7ECD"/>
    <w:rsid w:val="004C7F70"/>
    <w:rsid w:val="004C7FE5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27D8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B21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6C9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A7C1F"/>
    <w:rsid w:val="005B0152"/>
    <w:rsid w:val="005B0445"/>
    <w:rsid w:val="005B0568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4C1D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59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132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DB5"/>
    <w:rsid w:val="00627FFC"/>
    <w:rsid w:val="0063094F"/>
    <w:rsid w:val="00630D3D"/>
    <w:rsid w:val="00630FFC"/>
    <w:rsid w:val="00631038"/>
    <w:rsid w:val="0063121B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20A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43C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56C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2FDA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450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863"/>
    <w:rsid w:val="00750F92"/>
    <w:rsid w:val="007510AD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0623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4EE4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614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7E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5E7C"/>
    <w:rsid w:val="007F6352"/>
    <w:rsid w:val="007F7288"/>
    <w:rsid w:val="007F7D8E"/>
    <w:rsid w:val="007F7E13"/>
    <w:rsid w:val="008005EF"/>
    <w:rsid w:val="00800690"/>
    <w:rsid w:val="00801BAD"/>
    <w:rsid w:val="008023C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1F66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6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2D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3E15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4FA5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3A9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5F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B3F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925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6B2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36A2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821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65F5"/>
    <w:rsid w:val="00997397"/>
    <w:rsid w:val="009974A6"/>
    <w:rsid w:val="009A14BF"/>
    <w:rsid w:val="009A1892"/>
    <w:rsid w:val="009A19D5"/>
    <w:rsid w:val="009A25EC"/>
    <w:rsid w:val="009A26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DD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2F9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5712"/>
    <w:rsid w:val="009E60E3"/>
    <w:rsid w:val="009E6BB7"/>
    <w:rsid w:val="009E7C21"/>
    <w:rsid w:val="009F088E"/>
    <w:rsid w:val="009F0C44"/>
    <w:rsid w:val="009F166F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9F7228"/>
    <w:rsid w:val="00A0010F"/>
    <w:rsid w:val="00A003B5"/>
    <w:rsid w:val="00A004C1"/>
    <w:rsid w:val="00A017E3"/>
    <w:rsid w:val="00A01968"/>
    <w:rsid w:val="00A01DE5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6A8C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3E7B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00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64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AB3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4B6"/>
    <w:rsid w:val="00AF7511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5F12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70A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623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3DA"/>
    <w:rsid w:val="00BC26AA"/>
    <w:rsid w:val="00BC2739"/>
    <w:rsid w:val="00BC2835"/>
    <w:rsid w:val="00BC2ED1"/>
    <w:rsid w:val="00BC3DBE"/>
    <w:rsid w:val="00BC472A"/>
    <w:rsid w:val="00BC51BC"/>
    <w:rsid w:val="00BC52D6"/>
    <w:rsid w:val="00BC57B2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0532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3D03"/>
    <w:rsid w:val="00BE43CB"/>
    <w:rsid w:val="00BE4529"/>
    <w:rsid w:val="00BE5A0C"/>
    <w:rsid w:val="00BE6302"/>
    <w:rsid w:val="00BE651B"/>
    <w:rsid w:val="00BE68A7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0A80"/>
    <w:rsid w:val="00C11623"/>
    <w:rsid w:val="00C11BED"/>
    <w:rsid w:val="00C11DF6"/>
    <w:rsid w:val="00C11F37"/>
    <w:rsid w:val="00C122C5"/>
    <w:rsid w:val="00C123F4"/>
    <w:rsid w:val="00C140B0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D5F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688F"/>
    <w:rsid w:val="00C57443"/>
    <w:rsid w:val="00C600EC"/>
    <w:rsid w:val="00C61444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4CCF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6F1E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737"/>
    <w:rsid w:val="00CD2BD1"/>
    <w:rsid w:val="00CD355C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210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8C1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953"/>
    <w:rsid w:val="00D04EB6"/>
    <w:rsid w:val="00D059EE"/>
    <w:rsid w:val="00D07984"/>
    <w:rsid w:val="00D07AEE"/>
    <w:rsid w:val="00D10214"/>
    <w:rsid w:val="00D104B4"/>
    <w:rsid w:val="00D11192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2E37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A1F"/>
    <w:rsid w:val="00D63D04"/>
    <w:rsid w:val="00D643EC"/>
    <w:rsid w:val="00D64459"/>
    <w:rsid w:val="00D648E2"/>
    <w:rsid w:val="00D649F8"/>
    <w:rsid w:val="00D64A2A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3A3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3C3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D7F61"/>
    <w:rsid w:val="00DE0085"/>
    <w:rsid w:val="00DE0F31"/>
    <w:rsid w:val="00DE209B"/>
    <w:rsid w:val="00DE2AE0"/>
    <w:rsid w:val="00DE3F83"/>
    <w:rsid w:val="00DE4F0A"/>
    <w:rsid w:val="00DE519B"/>
    <w:rsid w:val="00DE53E0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D5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6DA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3CD6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95F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069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253E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38"/>
    <w:rsid w:val="00F26761"/>
    <w:rsid w:val="00F26FF0"/>
    <w:rsid w:val="00F27164"/>
    <w:rsid w:val="00F30B9B"/>
    <w:rsid w:val="00F30BD3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690D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0F17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639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674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B56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C15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CBF"/>
    <w:rsid w:val="00FE5D59"/>
    <w:rsid w:val="00FE5F3B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  <w:rsid w:val="00FF7881"/>
    <w:rsid w:val="2E05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06FD"/>
  <w15:docId w15:val="{7B091961-0E96-467B-8D6B-B63080D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ydney.edu.au/whs/report/index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sydney.edu.au/whs/activities/control_or_fix.shtml" TargetMode="Externa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6C698-21AC-6A41-BDC6-68CEDF91EC8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6ad8a692-7c39-4753-b365-6bb11f904d3c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2" ma:contentTypeDescription="Create a new document." ma:contentTypeScope="" ma:versionID="267cb23ecefa111a46b1a675fe7470b6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5d478478d946a0de3c536350fb289e69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A4C0-7170-4EAF-8183-EA95E3CC7C54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2.xml><?xml version="1.0" encoding="utf-8"?>
<ds:datastoreItem xmlns:ds="http://schemas.openxmlformats.org/officeDocument/2006/customXml" ds:itemID="{0A027275-8489-4698-B68E-E6C9E9D2C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5038-5F51-45CC-A48A-ABB6F8DF2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15FB5-E0B2-4FB3-873F-F8AD7A6D22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36</TotalTime>
  <Pages>6</Pages>
  <Words>602</Words>
  <Characters>3458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Your Manager's Name</Manager>
  <Company>University of Sydney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Subject (adjust in Document Properties)</dc:subject>
  <dc:creator>Jon D'Astoli</dc:creator>
  <cp:keywords/>
  <dc:description/>
  <cp:lastModifiedBy>Chris Betters</cp:lastModifiedBy>
  <cp:revision>12</cp:revision>
  <cp:lastPrinted>2021-06-23T05:59:00Z</cp:lastPrinted>
  <dcterms:created xsi:type="dcterms:W3CDTF">2021-07-15T05:56:00Z</dcterms:created>
  <dcterms:modified xsi:type="dcterms:W3CDTF">2026-07-12T02:51:00Z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2d1355ee-ab77-464a-8a6f-cffd8757e3b1</vt:lpwstr>
  </property>
  <property fmtid="{D5CDD505-2E9C-101B-9397-08002B2CF9AE}" pid="4" name="URL">
    <vt:lpwstr/>
  </property>
  <property fmtid="{D5CDD505-2E9C-101B-9397-08002B2CF9AE}" pid="5" name="DocumentSetDescription">
    <vt:lpwstr/>
  </property>
  <property fmtid="{D5CDD505-2E9C-101B-9397-08002B2CF9AE}" pid="6" name="AuthorIds_UIVersion_5">
    <vt:lpwstr>60</vt:lpwstr>
  </property>
</Properties>
</file>